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90287B">
      <w:pPr>
        <w:ind w:left="0" w:leftChars="0" w:firstLine="0" w:firstLineChars="0"/>
        <w:jc w:val="left"/>
        <w:rPr>
          <w:rFonts w:hint="eastAsia" w:ascii="黑体" w:hAnsi="黑体" w:eastAsia="黑体" w:cs="黑体"/>
          <w:color w:val="000000"/>
          <w:sz w:val="32"/>
          <w:szCs w:val="32"/>
          <w:highlight w:val="none"/>
          <w:lang w:val="en-US" w:eastAsia="zh-CN"/>
        </w:rPr>
      </w:pPr>
      <w:bookmarkStart w:id="0" w:name="OLE_LINK26"/>
      <w:r>
        <w:rPr>
          <w:rFonts w:hint="eastAsia" w:ascii="黑体" w:hAnsi="黑体" w:eastAsia="黑体" w:cs="黑体"/>
          <w:color w:val="000000"/>
          <w:sz w:val="32"/>
          <w:szCs w:val="32"/>
          <w:highlight w:val="none"/>
        </w:rPr>
        <w:t>附件</w:t>
      </w:r>
      <w:r>
        <w:rPr>
          <w:rFonts w:hint="eastAsia" w:ascii="黑体" w:hAnsi="黑体" w:eastAsia="黑体" w:cs="黑体"/>
          <w:color w:val="000000"/>
          <w:sz w:val="32"/>
          <w:szCs w:val="32"/>
          <w:highlight w:val="none"/>
          <w:lang w:val="en-US" w:eastAsia="zh-CN"/>
        </w:rPr>
        <w:t>2</w:t>
      </w:r>
    </w:p>
    <w:p w14:paraId="126984E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hAnsi="仿宋_GB2312" w:eastAsia="仿宋_GB2312" w:cs="仿宋_GB2312"/>
          <w:bCs/>
          <w:spacing w:val="2"/>
          <w:w w:val="80"/>
          <w:kern w:val="0"/>
          <w:sz w:val="32"/>
          <w:szCs w:val="32"/>
          <w:highlight w:val="none"/>
        </w:rPr>
      </w:pPr>
    </w:p>
    <w:p w14:paraId="6EAAD5D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spacing w:val="70"/>
          <w:kern w:val="0"/>
          <w:sz w:val="44"/>
          <w:szCs w:val="44"/>
          <w:highlight w:val="none"/>
        </w:rPr>
      </w:pPr>
      <w:bookmarkStart w:id="1" w:name="OLE_LINK3"/>
      <w:r>
        <w:rPr>
          <w:rFonts w:hint="eastAsia" w:ascii="方正小标宋简体" w:hAnsi="方正小标宋简体" w:eastAsia="方正小标宋简体" w:cs="方正小标宋简体"/>
          <w:b w:val="0"/>
          <w:bCs/>
          <w:spacing w:val="70"/>
          <w:kern w:val="0"/>
          <w:sz w:val="44"/>
          <w:szCs w:val="44"/>
          <w:highlight w:val="none"/>
        </w:rPr>
        <w:t>南昌县农村饮水安全薄弱环节</w:t>
      </w:r>
    </w:p>
    <w:p w14:paraId="232E6B6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spacing w:val="70"/>
          <w:kern w:val="0"/>
          <w:sz w:val="44"/>
          <w:szCs w:val="44"/>
          <w:highlight w:val="none"/>
        </w:rPr>
      </w:pPr>
      <w:r>
        <w:rPr>
          <w:rFonts w:hint="eastAsia" w:ascii="方正小标宋简体" w:hAnsi="方正小标宋简体" w:eastAsia="方正小标宋简体" w:cs="方正小标宋简体"/>
          <w:b w:val="0"/>
          <w:bCs/>
          <w:spacing w:val="70"/>
          <w:kern w:val="0"/>
          <w:sz w:val="44"/>
          <w:szCs w:val="44"/>
          <w:highlight w:val="none"/>
        </w:rPr>
        <w:t>排查与整治提升三年行动</w:t>
      </w:r>
    </w:p>
    <w:p w14:paraId="751C0B6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spacing w:val="70"/>
          <w:kern w:val="0"/>
          <w:sz w:val="44"/>
          <w:szCs w:val="44"/>
          <w:highlight w:val="none"/>
        </w:rPr>
      </w:pPr>
      <w:r>
        <w:rPr>
          <w:rFonts w:hint="eastAsia" w:ascii="方正小标宋简体" w:hAnsi="方正小标宋简体" w:eastAsia="方正小标宋简体" w:cs="方正小标宋简体"/>
          <w:b w:val="0"/>
          <w:bCs/>
          <w:spacing w:val="70"/>
          <w:kern w:val="0"/>
          <w:sz w:val="44"/>
          <w:szCs w:val="44"/>
          <w:highlight w:val="none"/>
        </w:rPr>
        <w:t>实施方案</w:t>
      </w:r>
      <w:bookmarkEnd w:id="1"/>
    </w:p>
    <w:p w14:paraId="4FEE297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kern w:val="0"/>
          <w:sz w:val="32"/>
          <w:szCs w:val="32"/>
          <w:highlight w:val="none"/>
        </w:rPr>
      </w:pPr>
    </w:p>
    <w:p w14:paraId="7EB972C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楷体_GB2312" w:cs="Times New Roman"/>
          <w:b/>
          <w:sz w:val="32"/>
          <w:szCs w:val="32"/>
          <w:highlight w:val="none"/>
        </w:rPr>
      </w:pPr>
      <w:r>
        <w:rPr>
          <w:rFonts w:hint="eastAsia" w:ascii="Times New Roman" w:hAnsi="Times New Roman" w:eastAsia="楷体_GB2312" w:cs="Times New Roman"/>
          <w:b/>
          <w:sz w:val="32"/>
          <w:szCs w:val="32"/>
          <w:highlight w:val="none"/>
        </w:rPr>
        <w:t>（送审稿）</w:t>
      </w:r>
    </w:p>
    <w:p w14:paraId="2B7601A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kern w:val="0"/>
          <w:sz w:val="32"/>
          <w:szCs w:val="32"/>
          <w:highlight w:val="none"/>
        </w:rPr>
      </w:pPr>
    </w:p>
    <w:p w14:paraId="692971B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kern w:val="0"/>
          <w:sz w:val="32"/>
          <w:szCs w:val="32"/>
          <w:highlight w:val="none"/>
        </w:rPr>
      </w:pPr>
    </w:p>
    <w:p w14:paraId="75FBD5A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sz w:val="32"/>
          <w:szCs w:val="32"/>
          <w:highlight w:val="none"/>
        </w:rPr>
      </w:pPr>
    </w:p>
    <w:p w14:paraId="5940BB5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spacing w:val="4"/>
          <w:w w:val="74"/>
          <w:kern w:val="0"/>
          <w:sz w:val="32"/>
          <w:szCs w:val="32"/>
          <w:highlight w:val="none"/>
        </w:rPr>
      </w:pPr>
    </w:p>
    <w:p w14:paraId="235FD7B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spacing w:val="4"/>
          <w:w w:val="74"/>
          <w:kern w:val="0"/>
          <w:sz w:val="32"/>
          <w:szCs w:val="32"/>
          <w:highlight w:val="none"/>
        </w:rPr>
      </w:pPr>
    </w:p>
    <w:p w14:paraId="1649560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spacing w:val="4"/>
          <w:w w:val="74"/>
          <w:kern w:val="0"/>
          <w:sz w:val="32"/>
          <w:szCs w:val="32"/>
          <w:highlight w:val="none"/>
        </w:rPr>
      </w:pPr>
    </w:p>
    <w:p w14:paraId="29020783">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hAnsi="仿宋_GB2312" w:eastAsia="仿宋_GB2312" w:cs="仿宋_GB2312"/>
          <w:b/>
          <w:spacing w:val="4"/>
          <w:w w:val="74"/>
          <w:kern w:val="0"/>
          <w:sz w:val="32"/>
          <w:szCs w:val="32"/>
          <w:highlight w:val="none"/>
        </w:rPr>
      </w:pPr>
    </w:p>
    <w:p w14:paraId="232DF5C8">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hAnsi="仿宋_GB2312" w:eastAsia="仿宋_GB2312" w:cs="仿宋_GB2312"/>
          <w:b/>
          <w:spacing w:val="4"/>
          <w:w w:val="74"/>
          <w:kern w:val="0"/>
          <w:sz w:val="32"/>
          <w:szCs w:val="32"/>
          <w:highlight w:val="none"/>
        </w:rPr>
      </w:pPr>
    </w:p>
    <w:p w14:paraId="3E6D872A">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hAnsi="仿宋_GB2312" w:eastAsia="仿宋_GB2312" w:cs="仿宋_GB2312"/>
          <w:b/>
          <w:spacing w:val="4"/>
          <w:w w:val="74"/>
          <w:kern w:val="0"/>
          <w:sz w:val="32"/>
          <w:szCs w:val="32"/>
          <w:highlight w:val="none"/>
        </w:rPr>
      </w:pPr>
    </w:p>
    <w:p w14:paraId="7B3C357F">
      <w:pPr>
        <w:pStyle w:val="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仿宋_GB2312" w:hAnsi="仿宋_GB2312" w:eastAsia="仿宋_GB2312" w:cs="仿宋_GB2312"/>
          <w:b/>
          <w:spacing w:val="4"/>
          <w:w w:val="74"/>
          <w:kern w:val="0"/>
          <w:sz w:val="32"/>
          <w:szCs w:val="32"/>
          <w:highlight w:val="none"/>
        </w:rPr>
      </w:pPr>
    </w:p>
    <w:p w14:paraId="1675DF9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sz w:val="32"/>
          <w:szCs w:val="32"/>
          <w:highlight w:val="none"/>
        </w:rPr>
      </w:pPr>
    </w:p>
    <w:p w14:paraId="10B57C68">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微软雅黑" w:hAnsi="微软雅黑" w:eastAsia="微软雅黑" w:cs="Times New Roman"/>
          <w:b/>
          <w:sz w:val="32"/>
          <w:szCs w:val="32"/>
          <w:highlight w:val="none"/>
        </w:rPr>
      </w:pPr>
    </w:p>
    <w:p w14:paraId="634B80D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 w:val="0"/>
          <w:bCs/>
          <w:sz w:val="32"/>
          <w:szCs w:val="32"/>
          <w:highlight w:val="none"/>
        </w:rPr>
      </w:pPr>
      <w:r>
        <w:rPr>
          <w:rFonts w:hint="eastAsia" w:ascii="方正小标宋简体" w:hAnsi="方正小标宋简体" w:eastAsia="方正小标宋简体" w:cs="方正小标宋简体"/>
          <w:b w:val="0"/>
          <w:bCs/>
          <w:sz w:val="32"/>
          <w:szCs w:val="32"/>
          <w:highlight w:val="none"/>
        </w:rPr>
        <w:t>2025年12月</w:t>
      </w:r>
    </w:p>
    <w:p w14:paraId="41FB12B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rPr>
      </w:pPr>
      <w:r>
        <w:rPr>
          <w:rFonts w:hint="eastAsia" w:ascii="微软雅黑" w:hAnsi="微软雅黑" w:eastAsia="微软雅黑" w:cs="Times New Roman"/>
          <w:b/>
          <w:sz w:val="32"/>
          <w:szCs w:val="32"/>
          <w:highlight w:val="none"/>
        </w:rPr>
        <w:br w:type="page"/>
      </w:r>
    </w:p>
    <w:sdt>
      <w:sdtPr>
        <w:rPr>
          <w:rFonts w:hint="eastAsia" w:eastAsiaTheme="minorEastAsia"/>
          <w:b/>
          <w:sz w:val="32"/>
          <w:szCs w:val="32"/>
          <w:highlight w:val="none"/>
          <w:lang w:val="zh-CN"/>
        </w:rPr>
        <w:id w:val="-1"/>
        <w:docPartObj>
          <w:docPartGallery w:val="Table of Contents"/>
          <w:docPartUnique/>
        </w:docPartObj>
      </w:sdtPr>
      <w:sdtEndPr>
        <w:rPr>
          <w:rFonts w:hint="eastAsia" w:ascii="仿宋" w:hAnsi="仿宋" w:eastAsia="仿宋" w:cs="仿宋"/>
          <w:b w:val="0"/>
          <w:bCs/>
          <w:sz w:val="32"/>
          <w:szCs w:val="32"/>
          <w:highlight w:val="none"/>
          <w:lang w:val="zh-CN"/>
        </w:rPr>
      </w:sdtEndPr>
      <w:sdtContent>
        <w:p w14:paraId="546CF64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 w:hAnsi="仿宋" w:eastAsia="仿宋" w:cs="仿宋"/>
              <w:b w:val="0"/>
              <w:bCs/>
              <w:sz w:val="32"/>
              <w:szCs w:val="32"/>
              <w:highlight w:val="none"/>
              <w:lang w:val="zh-CN"/>
            </w:rPr>
          </w:pPr>
          <w:bookmarkStart w:id="346" w:name="_GoBack"/>
          <w:r>
            <w:rPr>
              <w:rFonts w:hint="eastAsia" w:ascii="仿宋" w:hAnsi="仿宋" w:eastAsia="仿宋" w:cs="仿宋"/>
              <w:b w:val="0"/>
              <w:bCs/>
              <w:sz w:val="32"/>
              <w:szCs w:val="32"/>
              <w:highlight w:val="none"/>
              <w:lang w:val="zh-CN"/>
            </w:rPr>
            <w:t>目</w:t>
          </w:r>
          <w:r>
            <w:rPr>
              <w:rFonts w:hint="eastAsia" w:ascii="仿宋" w:hAnsi="仿宋" w:cs="仿宋"/>
              <w:b w:val="0"/>
              <w:bCs/>
              <w:sz w:val="32"/>
              <w:szCs w:val="32"/>
              <w:highlight w:val="none"/>
              <w:lang w:val="en-US" w:eastAsia="zh-CN"/>
            </w:rPr>
            <w:t xml:space="preserve"> </w:t>
          </w:r>
          <w:r>
            <w:rPr>
              <w:rFonts w:hint="eastAsia" w:ascii="仿宋" w:hAnsi="仿宋" w:eastAsia="仿宋" w:cs="仿宋"/>
              <w:b w:val="0"/>
              <w:bCs/>
              <w:sz w:val="32"/>
              <w:szCs w:val="32"/>
              <w:highlight w:val="none"/>
              <w:lang w:val="zh-CN"/>
            </w:rPr>
            <w:t>录</w:t>
          </w:r>
        </w:p>
        <w:p w14:paraId="3E0F751C">
          <w:pPr>
            <w:pStyle w:val="21"/>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sz w:val="32"/>
              <w:szCs w:val="32"/>
              <w:highlight w:val="none"/>
            </w:rPr>
            <w:fldChar w:fldCharType="begin"/>
          </w:r>
          <w:r>
            <w:rPr>
              <w:rFonts w:hint="eastAsia" w:ascii="仿宋" w:hAnsi="仿宋" w:eastAsia="仿宋" w:cs="仿宋"/>
              <w:sz w:val="32"/>
              <w:szCs w:val="32"/>
              <w:highlight w:val="none"/>
            </w:rPr>
            <w:instrText xml:space="preserve">TOC\o"1-3"\h\z\u</w:instrText>
          </w:r>
          <w:r>
            <w:rPr>
              <w:rFonts w:hint="eastAsia" w:ascii="仿宋" w:hAnsi="仿宋" w:eastAsia="仿宋" w:cs="仿宋"/>
              <w:sz w:val="32"/>
              <w:szCs w:val="32"/>
              <w:highlight w:val="none"/>
            </w:rPr>
            <w:fldChar w:fldCharType="separate"/>
          </w:r>
          <w:r>
            <w:rPr>
              <w:rFonts w:hint="eastAsia" w:ascii="仿宋" w:hAnsi="仿宋" w:eastAsia="仿宋" w:cs="仿宋"/>
              <w:szCs w:val="32"/>
              <w:highlight w:val="none"/>
            </w:rPr>
            <w:fldChar w:fldCharType="begin"/>
          </w:r>
          <w:r>
            <w:rPr>
              <w:rFonts w:hint="eastAsia" w:ascii="仿宋" w:hAnsi="仿宋" w:eastAsia="仿宋" w:cs="仿宋"/>
              <w:szCs w:val="32"/>
              <w:highlight w:val="none"/>
            </w:rPr>
            <w:instrText xml:space="preserve"> HYPERLINK \l _Toc23327 </w:instrText>
          </w:r>
          <w:r>
            <w:rPr>
              <w:rFonts w:hint="eastAsia" w:ascii="仿宋" w:hAnsi="仿宋" w:eastAsia="仿宋" w:cs="仿宋"/>
              <w:szCs w:val="32"/>
              <w:highlight w:val="none"/>
            </w:rPr>
            <w:fldChar w:fldCharType="separate"/>
          </w:r>
          <w:r>
            <w:rPr>
              <w:rFonts w:hint="eastAsia" w:ascii="黑体" w:hAnsi="黑体" w:eastAsia="黑体" w:cs="黑体"/>
              <w:bCs/>
              <w:szCs w:val="32"/>
            </w:rPr>
            <w:t xml:space="preserve">第1章 </w:t>
          </w:r>
          <w:r>
            <w:rPr>
              <w:rFonts w:hint="eastAsia" w:ascii="黑体" w:hAnsi="黑体" w:eastAsia="黑体" w:cs="黑体"/>
              <w:bCs/>
              <w:szCs w:val="32"/>
              <w:highlight w:val="none"/>
              <w:lang w:eastAsia="zh"/>
              <w:woUserID w:val="3"/>
            </w:rPr>
            <w:t>概述</w:t>
          </w:r>
          <w:r>
            <w:tab/>
          </w:r>
          <w:r>
            <w:fldChar w:fldCharType="begin"/>
          </w:r>
          <w:r>
            <w:instrText xml:space="preserve"> PAGEREF _Toc23327 \h </w:instrText>
          </w:r>
          <w:r>
            <w:fldChar w:fldCharType="separate"/>
          </w:r>
          <w:r>
            <w:t>1</w:t>
          </w:r>
          <w:r>
            <w:fldChar w:fldCharType="end"/>
          </w:r>
          <w:r>
            <w:rPr>
              <w:rFonts w:hint="eastAsia" w:ascii="仿宋" w:hAnsi="仿宋" w:eastAsia="仿宋" w:cs="仿宋"/>
              <w:szCs w:val="32"/>
              <w:highlight w:val="none"/>
            </w:rPr>
            <w:fldChar w:fldCharType="end"/>
          </w:r>
        </w:p>
        <w:p w14:paraId="4A70D9C6">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_Toc2183 </w:instrText>
          </w:r>
          <w:r>
            <w:rPr>
              <w:rFonts w:hint="eastAsia" w:ascii="仿宋" w:hAnsi="仿宋" w:eastAsia="仿宋" w:cs="仿宋"/>
              <w:bCs/>
              <w:szCs w:val="32"/>
              <w:highlight w:val="none"/>
              <w:lang w:val="zh-CN"/>
            </w:rPr>
            <w:fldChar w:fldCharType="separate"/>
          </w:r>
          <w:r>
            <w:rPr>
              <w:rFonts w:hint="eastAsia" w:ascii="楷体" w:hAnsi="楷体" w:eastAsia="楷体" w:cs="楷体"/>
              <w:bCs w:val="0"/>
              <w:szCs w:val="32"/>
            </w:rPr>
            <w:t xml:space="preserve">1.1 </w:t>
          </w:r>
          <w:r>
            <w:rPr>
              <w:rFonts w:hint="eastAsia" w:ascii="楷体" w:hAnsi="楷体" w:eastAsia="楷体" w:cs="楷体"/>
              <w:bCs w:val="0"/>
              <w:szCs w:val="32"/>
              <w:highlight w:val="none"/>
            </w:rPr>
            <w:t>背景和依据</w:t>
          </w:r>
          <w:r>
            <w:tab/>
          </w:r>
          <w:r>
            <w:fldChar w:fldCharType="begin"/>
          </w:r>
          <w:r>
            <w:instrText xml:space="preserve"> PAGEREF _Toc2183 \h </w:instrText>
          </w:r>
          <w:r>
            <w:fldChar w:fldCharType="separate"/>
          </w:r>
          <w:r>
            <w:t>1</w:t>
          </w:r>
          <w:r>
            <w:fldChar w:fldCharType="end"/>
          </w:r>
          <w:r>
            <w:rPr>
              <w:rFonts w:hint="eastAsia" w:ascii="仿宋" w:hAnsi="仿宋" w:eastAsia="仿宋" w:cs="仿宋"/>
              <w:bCs/>
              <w:szCs w:val="32"/>
              <w:highlight w:val="none"/>
              <w:lang w:val="zh-CN"/>
            </w:rPr>
            <w:fldChar w:fldCharType="end"/>
          </w:r>
        </w:p>
        <w:p w14:paraId="446F7A5A">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_Toc23610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1.1.1 </w:t>
          </w:r>
          <w:r>
            <w:rPr>
              <w:rFonts w:hint="eastAsia" w:ascii="仿宋_GB2312" w:hAnsi="仿宋_GB2312" w:eastAsia="仿宋_GB2312" w:cs="仿宋_GB2312"/>
              <w:szCs w:val="32"/>
              <w:highlight w:val="none"/>
            </w:rPr>
            <w:t>方案编制背景</w:t>
          </w:r>
          <w:r>
            <w:tab/>
          </w:r>
          <w:r>
            <w:fldChar w:fldCharType="begin"/>
          </w:r>
          <w:r>
            <w:instrText xml:space="preserve"> PAGEREF _Toc23610 \h </w:instrText>
          </w:r>
          <w:r>
            <w:fldChar w:fldCharType="separate"/>
          </w:r>
          <w:r>
            <w:t>1</w:t>
          </w:r>
          <w:r>
            <w:fldChar w:fldCharType="end"/>
          </w:r>
          <w:r>
            <w:rPr>
              <w:rFonts w:hint="eastAsia" w:ascii="仿宋" w:hAnsi="仿宋" w:eastAsia="仿宋" w:cs="仿宋"/>
              <w:bCs/>
              <w:szCs w:val="32"/>
              <w:highlight w:val="none"/>
              <w:lang w:val="zh-CN"/>
            </w:rPr>
            <w:fldChar w:fldCharType="end"/>
          </w:r>
        </w:p>
        <w:p w14:paraId="5F01E6F5">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_Toc26061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1.1.2 </w:t>
          </w:r>
          <w:r>
            <w:rPr>
              <w:rFonts w:hint="eastAsia" w:ascii="仿宋_GB2312" w:hAnsi="仿宋_GB2312" w:eastAsia="仿宋_GB2312" w:cs="仿宋_GB2312"/>
              <w:szCs w:val="32"/>
              <w:highlight w:val="none"/>
            </w:rPr>
            <w:t>指导思想</w:t>
          </w:r>
          <w:r>
            <w:tab/>
          </w:r>
          <w:r>
            <w:fldChar w:fldCharType="begin"/>
          </w:r>
          <w:r>
            <w:instrText xml:space="preserve"> PAGEREF _Toc26061 \h </w:instrText>
          </w:r>
          <w:r>
            <w:fldChar w:fldCharType="separate"/>
          </w:r>
          <w:r>
            <w:t>1</w:t>
          </w:r>
          <w:r>
            <w:fldChar w:fldCharType="end"/>
          </w:r>
          <w:r>
            <w:rPr>
              <w:rFonts w:hint="eastAsia" w:ascii="仿宋" w:hAnsi="仿宋" w:eastAsia="仿宋" w:cs="仿宋"/>
              <w:bCs/>
              <w:szCs w:val="32"/>
              <w:highlight w:val="none"/>
              <w:lang w:val="zh-CN"/>
            </w:rPr>
            <w:fldChar w:fldCharType="end"/>
          </w:r>
        </w:p>
        <w:p w14:paraId="1FEE4481">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_Toc12730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1.1.3 </w:t>
          </w:r>
          <w:r>
            <w:rPr>
              <w:rFonts w:hint="eastAsia" w:ascii="仿宋_GB2312" w:hAnsi="仿宋_GB2312" w:eastAsia="仿宋_GB2312" w:cs="仿宋_GB2312"/>
              <w:szCs w:val="32"/>
              <w:highlight w:val="none"/>
            </w:rPr>
            <w:t>基本原则</w:t>
          </w:r>
          <w:r>
            <w:tab/>
          </w:r>
          <w:r>
            <w:fldChar w:fldCharType="begin"/>
          </w:r>
          <w:r>
            <w:instrText xml:space="preserve"> PAGEREF _Toc12730 \h </w:instrText>
          </w:r>
          <w:r>
            <w:fldChar w:fldCharType="separate"/>
          </w:r>
          <w:r>
            <w:t>2</w:t>
          </w:r>
          <w:r>
            <w:fldChar w:fldCharType="end"/>
          </w:r>
          <w:r>
            <w:rPr>
              <w:rFonts w:hint="eastAsia" w:ascii="仿宋" w:hAnsi="仿宋" w:eastAsia="仿宋" w:cs="仿宋"/>
              <w:bCs/>
              <w:szCs w:val="32"/>
              <w:highlight w:val="none"/>
              <w:lang w:val="zh-CN"/>
            </w:rPr>
            <w:fldChar w:fldCharType="end"/>
          </w:r>
        </w:p>
        <w:p w14:paraId="161EF841">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_Toc28657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1.1.4 </w:t>
          </w:r>
          <w:r>
            <w:rPr>
              <w:rFonts w:hint="eastAsia" w:ascii="仿宋_GB2312" w:hAnsi="仿宋_GB2312" w:eastAsia="仿宋_GB2312" w:cs="仿宋_GB2312"/>
              <w:szCs w:val="32"/>
              <w:highlight w:val="none"/>
            </w:rPr>
            <w:t>编制依据</w:t>
          </w:r>
          <w:r>
            <w:tab/>
          </w:r>
          <w:r>
            <w:fldChar w:fldCharType="begin"/>
          </w:r>
          <w:r>
            <w:instrText xml:space="preserve"> PAGEREF _Toc28657 \h </w:instrText>
          </w:r>
          <w:r>
            <w:fldChar w:fldCharType="separate"/>
          </w:r>
          <w:r>
            <w:t>3</w:t>
          </w:r>
          <w:r>
            <w:fldChar w:fldCharType="end"/>
          </w:r>
          <w:r>
            <w:rPr>
              <w:rFonts w:hint="eastAsia" w:ascii="仿宋" w:hAnsi="仿宋" w:eastAsia="仿宋" w:cs="仿宋"/>
              <w:bCs/>
              <w:szCs w:val="32"/>
              <w:highlight w:val="none"/>
              <w:lang w:val="zh-CN"/>
            </w:rPr>
            <w:fldChar w:fldCharType="end"/>
          </w:r>
        </w:p>
        <w:p w14:paraId="1D0E31D3">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_Toc31621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1.2 </w:t>
          </w:r>
          <w:r>
            <w:rPr>
              <w:rFonts w:hint="eastAsia" w:ascii="楷体" w:hAnsi="楷体" w:eastAsia="楷体" w:cs="楷体"/>
              <w:szCs w:val="32"/>
              <w:highlight w:val="none"/>
            </w:rPr>
            <w:t>实施的必要性</w:t>
          </w:r>
          <w:r>
            <w:tab/>
          </w:r>
          <w:r>
            <w:fldChar w:fldCharType="begin"/>
          </w:r>
          <w:r>
            <w:instrText xml:space="preserve"> PAGEREF _Toc31621 \h </w:instrText>
          </w:r>
          <w:r>
            <w:fldChar w:fldCharType="separate"/>
          </w:r>
          <w:r>
            <w:t>5</w:t>
          </w:r>
          <w:r>
            <w:fldChar w:fldCharType="end"/>
          </w:r>
          <w:r>
            <w:rPr>
              <w:rFonts w:hint="eastAsia" w:ascii="仿宋" w:hAnsi="仿宋" w:eastAsia="仿宋" w:cs="仿宋"/>
              <w:bCs/>
              <w:szCs w:val="32"/>
              <w:highlight w:val="none"/>
              <w:lang w:val="zh-CN"/>
            </w:rPr>
            <w:fldChar w:fldCharType="end"/>
          </w:r>
        </w:p>
        <w:p w14:paraId="76352E2D">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_Toc16784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1.3 </w:t>
          </w:r>
          <w:r>
            <w:rPr>
              <w:rFonts w:hint="eastAsia" w:ascii="楷体" w:hAnsi="楷体" w:eastAsia="楷体" w:cs="楷体"/>
              <w:szCs w:val="32"/>
              <w:highlight w:val="none"/>
            </w:rPr>
            <w:t>方案编制目标</w:t>
          </w:r>
          <w:r>
            <w:tab/>
          </w:r>
          <w:r>
            <w:fldChar w:fldCharType="begin"/>
          </w:r>
          <w:r>
            <w:instrText xml:space="preserve"> PAGEREF _Toc16784 \h </w:instrText>
          </w:r>
          <w:r>
            <w:fldChar w:fldCharType="separate"/>
          </w:r>
          <w:r>
            <w:t>6</w:t>
          </w:r>
          <w:r>
            <w:fldChar w:fldCharType="end"/>
          </w:r>
          <w:r>
            <w:rPr>
              <w:rFonts w:hint="eastAsia" w:ascii="仿宋" w:hAnsi="仿宋" w:eastAsia="仿宋" w:cs="仿宋"/>
              <w:bCs/>
              <w:szCs w:val="32"/>
              <w:highlight w:val="none"/>
              <w:lang w:val="zh-CN"/>
            </w:rPr>
            <w:fldChar w:fldCharType="end"/>
          </w:r>
        </w:p>
        <w:p w14:paraId="2E858F4F">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_Toc17097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1.4 </w:t>
          </w:r>
          <w:r>
            <w:rPr>
              <w:rFonts w:hint="eastAsia" w:ascii="楷体" w:hAnsi="楷体" w:eastAsia="楷体" w:cs="楷体"/>
              <w:szCs w:val="32"/>
              <w:highlight w:val="none"/>
            </w:rPr>
            <w:t>总体框架</w:t>
          </w:r>
          <w:r>
            <w:tab/>
          </w:r>
          <w:r>
            <w:fldChar w:fldCharType="begin"/>
          </w:r>
          <w:r>
            <w:instrText xml:space="preserve"> PAGEREF _Toc17097 \h </w:instrText>
          </w:r>
          <w:r>
            <w:fldChar w:fldCharType="separate"/>
          </w:r>
          <w:r>
            <w:t>7</w:t>
          </w:r>
          <w:r>
            <w:fldChar w:fldCharType="end"/>
          </w:r>
          <w:r>
            <w:rPr>
              <w:rFonts w:hint="eastAsia" w:ascii="仿宋" w:hAnsi="仿宋" w:eastAsia="仿宋" w:cs="仿宋"/>
              <w:bCs/>
              <w:szCs w:val="32"/>
              <w:highlight w:val="none"/>
              <w:lang w:val="zh-CN"/>
            </w:rPr>
            <w:fldChar w:fldCharType="end"/>
          </w:r>
        </w:p>
        <w:p w14:paraId="486CB7D0">
          <w:pPr>
            <w:pStyle w:val="21"/>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_Toc23555 </w:instrText>
          </w:r>
          <w:r>
            <w:rPr>
              <w:rFonts w:hint="eastAsia" w:ascii="仿宋" w:hAnsi="仿宋" w:eastAsia="仿宋" w:cs="仿宋"/>
              <w:bCs/>
              <w:szCs w:val="32"/>
              <w:highlight w:val="none"/>
              <w:lang w:val="zh-CN"/>
            </w:rPr>
            <w:fldChar w:fldCharType="separate"/>
          </w:r>
          <w:r>
            <w:rPr>
              <w:rFonts w:hint="eastAsia" w:ascii="黑体" w:hAnsi="黑体" w:eastAsia="黑体" w:cs="黑体"/>
              <w:bCs/>
              <w:szCs w:val="32"/>
            </w:rPr>
            <w:t xml:space="preserve">第2章 </w:t>
          </w:r>
          <w:r>
            <w:rPr>
              <w:rFonts w:hint="eastAsia" w:ascii="黑体" w:hAnsi="黑体" w:eastAsia="黑体" w:cs="黑体"/>
              <w:bCs/>
              <w:szCs w:val="32"/>
              <w:highlight w:val="none"/>
            </w:rPr>
            <w:t>农村供水概况</w:t>
          </w:r>
          <w:r>
            <w:tab/>
          </w:r>
          <w:r>
            <w:fldChar w:fldCharType="begin"/>
          </w:r>
          <w:r>
            <w:instrText xml:space="preserve"> PAGEREF _Toc23555 \h </w:instrText>
          </w:r>
          <w:r>
            <w:fldChar w:fldCharType="separate"/>
          </w:r>
          <w:r>
            <w:t>8</w:t>
          </w:r>
          <w:r>
            <w:fldChar w:fldCharType="end"/>
          </w:r>
          <w:r>
            <w:rPr>
              <w:rFonts w:hint="eastAsia" w:ascii="仿宋" w:hAnsi="仿宋" w:eastAsia="仿宋" w:cs="仿宋"/>
              <w:bCs/>
              <w:szCs w:val="32"/>
              <w:highlight w:val="none"/>
              <w:lang w:val="zh-CN"/>
            </w:rPr>
            <w:fldChar w:fldCharType="end"/>
          </w:r>
        </w:p>
        <w:p w14:paraId="065D6590">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_Toc13526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2.1 </w:t>
          </w:r>
          <w:r>
            <w:rPr>
              <w:rFonts w:hint="eastAsia" w:ascii="楷体" w:hAnsi="楷体" w:eastAsia="楷体" w:cs="楷体"/>
              <w:szCs w:val="32"/>
              <w:highlight w:val="none"/>
            </w:rPr>
            <w:t>自然地理</w:t>
          </w:r>
          <w:r>
            <w:tab/>
          </w:r>
          <w:r>
            <w:fldChar w:fldCharType="begin"/>
          </w:r>
          <w:r>
            <w:instrText xml:space="preserve"> PAGEREF _Toc13526 \h </w:instrText>
          </w:r>
          <w:r>
            <w:fldChar w:fldCharType="separate"/>
          </w:r>
          <w:r>
            <w:t>8</w:t>
          </w:r>
          <w:r>
            <w:fldChar w:fldCharType="end"/>
          </w:r>
          <w:r>
            <w:rPr>
              <w:rFonts w:hint="eastAsia" w:ascii="仿宋" w:hAnsi="仿宋" w:eastAsia="仿宋" w:cs="仿宋"/>
              <w:bCs/>
              <w:szCs w:val="32"/>
              <w:highlight w:val="none"/>
              <w:lang w:val="zh-CN"/>
            </w:rPr>
            <w:fldChar w:fldCharType="end"/>
          </w:r>
        </w:p>
        <w:p w14:paraId="65A22656">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_Toc2891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2.1.1 </w:t>
          </w:r>
          <w:r>
            <w:rPr>
              <w:rFonts w:hint="eastAsia" w:ascii="仿宋_GB2312" w:hAnsi="仿宋_GB2312" w:eastAsia="仿宋_GB2312" w:cs="仿宋_GB2312"/>
              <w:szCs w:val="32"/>
              <w:highlight w:val="none"/>
            </w:rPr>
            <w:t>地理位置</w:t>
          </w:r>
          <w:r>
            <w:tab/>
          </w:r>
          <w:r>
            <w:fldChar w:fldCharType="begin"/>
          </w:r>
          <w:r>
            <w:instrText xml:space="preserve"> PAGEREF _Toc2891 \h </w:instrText>
          </w:r>
          <w:r>
            <w:fldChar w:fldCharType="separate"/>
          </w:r>
          <w:r>
            <w:t>8</w:t>
          </w:r>
          <w:r>
            <w:fldChar w:fldCharType="end"/>
          </w:r>
          <w:r>
            <w:rPr>
              <w:rFonts w:hint="eastAsia" w:ascii="仿宋" w:hAnsi="仿宋" w:eastAsia="仿宋" w:cs="仿宋"/>
              <w:bCs/>
              <w:szCs w:val="32"/>
              <w:highlight w:val="none"/>
              <w:lang w:val="zh-CN"/>
            </w:rPr>
            <w:fldChar w:fldCharType="end"/>
          </w:r>
        </w:p>
        <w:p w14:paraId="0069F12C">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_Toc14802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2.1.2 </w:t>
          </w:r>
          <w:r>
            <w:rPr>
              <w:rFonts w:hint="eastAsia" w:ascii="仿宋_GB2312" w:hAnsi="仿宋_GB2312" w:eastAsia="仿宋_GB2312" w:cs="仿宋_GB2312"/>
              <w:szCs w:val="32"/>
              <w:highlight w:val="none"/>
            </w:rPr>
            <w:t>地形地貌</w:t>
          </w:r>
          <w:r>
            <w:tab/>
          </w:r>
          <w:r>
            <w:fldChar w:fldCharType="begin"/>
          </w:r>
          <w:r>
            <w:instrText xml:space="preserve"> PAGEREF _Toc14802 \h </w:instrText>
          </w:r>
          <w:r>
            <w:fldChar w:fldCharType="separate"/>
          </w:r>
          <w:r>
            <w:t>8</w:t>
          </w:r>
          <w:r>
            <w:fldChar w:fldCharType="end"/>
          </w:r>
          <w:r>
            <w:rPr>
              <w:rFonts w:hint="eastAsia" w:ascii="仿宋" w:hAnsi="仿宋" w:eastAsia="仿宋" w:cs="仿宋"/>
              <w:bCs/>
              <w:szCs w:val="32"/>
              <w:highlight w:val="none"/>
              <w:lang w:val="zh-CN"/>
            </w:rPr>
            <w:fldChar w:fldCharType="end"/>
          </w:r>
        </w:p>
        <w:p w14:paraId="04C7D289">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_Toc23157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2.1.3 </w:t>
          </w:r>
          <w:r>
            <w:rPr>
              <w:rFonts w:hint="eastAsia" w:ascii="仿宋_GB2312" w:hAnsi="仿宋_GB2312" w:eastAsia="仿宋_GB2312" w:cs="仿宋_GB2312"/>
              <w:szCs w:val="32"/>
              <w:highlight w:val="none"/>
            </w:rPr>
            <w:t>气候</w:t>
          </w:r>
          <w:r>
            <w:tab/>
          </w:r>
          <w:r>
            <w:fldChar w:fldCharType="begin"/>
          </w:r>
          <w:r>
            <w:instrText xml:space="preserve"> PAGEREF _Toc23157 \h </w:instrText>
          </w:r>
          <w:r>
            <w:fldChar w:fldCharType="separate"/>
          </w:r>
          <w:r>
            <w:t>9</w:t>
          </w:r>
          <w:r>
            <w:fldChar w:fldCharType="end"/>
          </w:r>
          <w:r>
            <w:rPr>
              <w:rFonts w:hint="eastAsia" w:ascii="仿宋" w:hAnsi="仿宋" w:eastAsia="仿宋" w:cs="仿宋"/>
              <w:bCs/>
              <w:szCs w:val="32"/>
              <w:highlight w:val="none"/>
              <w:lang w:val="zh-CN"/>
            </w:rPr>
            <w:fldChar w:fldCharType="end"/>
          </w:r>
        </w:p>
        <w:p w14:paraId="703894EA">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_Toc28178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2.1.4 </w:t>
          </w:r>
          <w:r>
            <w:rPr>
              <w:rFonts w:hint="eastAsia" w:ascii="仿宋_GB2312" w:hAnsi="仿宋_GB2312" w:eastAsia="仿宋_GB2312" w:cs="仿宋_GB2312"/>
              <w:szCs w:val="32"/>
              <w:highlight w:val="none"/>
            </w:rPr>
            <w:t>地质条件</w:t>
          </w:r>
          <w:r>
            <w:tab/>
          </w:r>
          <w:r>
            <w:fldChar w:fldCharType="begin"/>
          </w:r>
          <w:r>
            <w:instrText xml:space="preserve"> PAGEREF _Toc28178 \h </w:instrText>
          </w:r>
          <w:r>
            <w:fldChar w:fldCharType="separate"/>
          </w:r>
          <w:r>
            <w:t>10</w:t>
          </w:r>
          <w:r>
            <w:fldChar w:fldCharType="end"/>
          </w:r>
          <w:r>
            <w:rPr>
              <w:rFonts w:hint="eastAsia" w:ascii="仿宋" w:hAnsi="仿宋" w:eastAsia="仿宋" w:cs="仿宋"/>
              <w:bCs/>
              <w:szCs w:val="32"/>
              <w:highlight w:val="none"/>
              <w:lang w:val="zh-CN"/>
            </w:rPr>
            <w:fldChar w:fldCharType="end"/>
          </w:r>
        </w:p>
        <w:p w14:paraId="460C6A0F">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_Toc9244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2.1.5 </w:t>
          </w:r>
          <w:r>
            <w:rPr>
              <w:rFonts w:hint="eastAsia" w:ascii="仿宋_GB2312" w:hAnsi="仿宋_GB2312" w:eastAsia="仿宋_GB2312" w:cs="仿宋_GB2312"/>
              <w:szCs w:val="32"/>
              <w:highlight w:val="none"/>
            </w:rPr>
            <w:t>水文条件</w:t>
          </w:r>
          <w:r>
            <w:tab/>
          </w:r>
          <w:r>
            <w:fldChar w:fldCharType="begin"/>
          </w:r>
          <w:r>
            <w:instrText xml:space="preserve"> PAGEREF _Toc9244 \h </w:instrText>
          </w:r>
          <w:r>
            <w:fldChar w:fldCharType="separate"/>
          </w:r>
          <w:r>
            <w:t>11</w:t>
          </w:r>
          <w:r>
            <w:fldChar w:fldCharType="end"/>
          </w:r>
          <w:r>
            <w:rPr>
              <w:rFonts w:hint="eastAsia" w:ascii="仿宋" w:hAnsi="仿宋" w:eastAsia="仿宋" w:cs="仿宋"/>
              <w:bCs/>
              <w:szCs w:val="32"/>
              <w:highlight w:val="none"/>
              <w:lang w:val="zh-CN"/>
            </w:rPr>
            <w:fldChar w:fldCharType="end"/>
          </w:r>
        </w:p>
        <w:p w14:paraId="32CFDA1B">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_Toc31505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2.2 </w:t>
          </w:r>
          <w:r>
            <w:rPr>
              <w:rFonts w:hint="eastAsia" w:ascii="楷体" w:hAnsi="楷体" w:eastAsia="楷体" w:cs="楷体"/>
              <w:szCs w:val="32"/>
              <w:highlight w:val="none"/>
            </w:rPr>
            <w:t>农村供水基本情况</w:t>
          </w:r>
          <w:r>
            <w:tab/>
          </w:r>
          <w:r>
            <w:fldChar w:fldCharType="begin"/>
          </w:r>
          <w:r>
            <w:instrText xml:space="preserve"> PAGEREF _Toc31505 \h </w:instrText>
          </w:r>
          <w:r>
            <w:fldChar w:fldCharType="separate"/>
          </w:r>
          <w:r>
            <w:t>16</w:t>
          </w:r>
          <w:r>
            <w:fldChar w:fldCharType="end"/>
          </w:r>
          <w:r>
            <w:rPr>
              <w:rFonts w:hint="eastAsia" w:ascii="仿宋" w:hAnsi="仿宋" w:eastAsia="仿宋" w:cs="仿宋"/>
              <w:bCs/>
              <w:szCs w:val="32"/>
              <w:highlight w:val="none"/>
              <w:lang w:val="zh-CN"/>
            </w:rPr>
            <w:fldChar w:fldCharType="end"/>
          </w:r>
        </w:p>
        <w:p w14:paraId="51E377DF">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_Toc26602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2.2.1 </w:t>
          </w:r>
          <w:r>
            <w:rPr>
              <w:rFonts w:hint="eastAsia" w:ascii="仿宋_GB2312" w:hAnsi="仿宋_GB2312" w:eastAsia="仿宋_GB2312" w:cs="仿宋_GB2312"/>
              <w:szCs w:val="32"/>
              <w:highlight w:val="none"/>
            </w:rPr>
            <w:t>规模化供水工程</w:t>
          </w:r>
          <w:r>
            <w:tab/>
          </w:r>
          <w:r>
            <w:fldChar w:fldCharType="begin"/>
          </w:r>
          <w:r>
            <w:instrText xml:space="preserve"> PAGEREF _Toc26602 \h </w:instrText>
          </w:r>
          <w:r>
            <w:fldChar w:fldCharType="separate"/>
          </w:r>
          <w:r>
            <w:t>16</w:t>
          </w:r>
          <w:r>
            <w:fldChar w:fldCharType="end"/>
          </w:r>
          <w:r>
            <w:rPr>
              <w:rFonts w:hint="eastAsia" w:ascii="仿宋" w:hAnsi="仿宋" w:eastAsia="仿宋" w:cs="仿宋"/>
              <w:bCs/>
              <w:szCs w:val="32"/>
              <w:highlight w:val="none"/>
              <w:lang w:val="zh-CN"/>
            </w:rPr>
            <w:fldChar w:fldCharType="end"/>
          </w:r>
        </w:p>
        <w:p w14:paraId="580DAB42">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_Toc30053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woUserID w:val="1"/>
            </w:rPr>
            <w:t xml:space="preserve">2.2.2 </w:t>
          </w:r>
          <w:r>
            <w:rPr>
              <w:rFonts w:hint="eastAsia" w:ascii="仿宋_GB2312" w:hAnsi="仿宋_GB2312" w:eastAsia="仿宋_GB2312" w:cs="仿宋_GB2312"/>
              <w:szCs w:val="32"/>
              <w:highlight w:val="none"/>
              <w:lang w:eastAsia="zh"/>
              <w:woUserID w:val="1"/>
            </w:rPr>
            <w:t>小型集中供水工程</w:t>
          </w:r>
          <w:r>
            <w:tab/>
          </w:r>
          <w:r>
            <w:fldChar w:fldCharType="begin"/>
          </w:r>
          <w:r>
            <w:instrText xml:space="preserve"> PAGEREF _Toc30053 \h </w:instrText>
          </w:r>
          <w:r>
            <w:fldChar w:fldCharType="separate"/>
          </w:r>
          <w:r>
            <w:t>18</w:t>
          </w:r>
          <w:r>
            <w:fldChar w:fldCharType="end"/>
          </w:r>
          <w:r>
            <w:rPr>
              <w:rFonts w:hint="eastAsia" w:ascii="仿宋" w:hAnsi="仿宋" w:eastAsia="仿宋" w:cs="仿宋"/>
              <w:bCs/>
              <w:szCs w:val="32"/>
              <w:highlight w:val="none"/>
              <w:lang w:val="zh-CN"/>
            </w:rPr>
            <w:fldChar w:fldCharType="end"/>
          </w:r>
        </w:p>
        <w:p w14:paraId="2829A0EC">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_Toc5457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2.2.3 </w:t>
          </w:r>
          <w:r>
            <w:rPr>
              <w:rFonts w:hint="eastAsia" w:ascii="仿宋_GB2312" w:hAnsi="仿宋_GB2312" w:eastAsia="仿宋_GB2312" w:cs="仿宋_GB2312"/>
              <w:szCs w:val="32"/>
              <w:highlight w:val="none"/>
            </w:rPr>
            <w:t>分散式供水</w:t>
          </w:r>
          <w:r>
            <w:rPr>
              <w:rFonts w:hint="eastAsia" w:ascii="仿宋_GB2312" w:hAnsi="仿宋_GB2312" w:eastAsia="仿宋_GB2312" w:cs="仿宋_GB2312"/>
              <w:szCs w:val="32"/>
              <w:highlight w:val="none"/>
              <w:lang w:eastAsia="zh"/>
              <w:woUserID w:val="1"/>
            </w:rPr>
            <w:t>工程</w:t>
          </w:r>
          <w:r>
            <w:tab/>
          </w:r>
          <w:r>
            <w:fldChar w:fldCharType="begin"/>
          </w:r>
          <w:r>
            <w:instrText xml:space="preserve"> PAGEREF _Toc5457 \h </w:instrText>
          </w:r>
          <w:r>
            <w:fldChar w:fldCharType="separate"/>
          </w:r>
          <w:r>
            <w:t>18</w:t>
          </w:r>
          <w:r>
            <w:fldChar w:fldCharType="end"/>
          </w:r>
          <w:r>
            <w:rPr>
              <w:rFonts w:hint="eastAsia" w:ascii="仿宋" w:hAnsi="仿宋" w:eastAsia="仿宋" w:cs="仿宋"/>
              <w:bCs/>
              <w:szCs w:val="32"/>
              <w:highlight w:val="none"/>
              <w:lang w:val="zh-CN"/>
            </w:rPr>
            <w:fldChar w:fldCharType="end"/>
          </w:r>
        </w:p>
        <w:p w14:paraId="739176DF">
          <w:pPr>
            <w:pStyle w:val="21"/>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_Toc20260 </w:instrText>
          </w:r>
          <w:r>
            <w:rPr>
              <w:rFonts w:hint="eastAsia" w:ascii="仿宋" w:hAnsi="仿宋" w:eastAsia="仿宋" w:cs="仿宋"/>
              <w:bCs/>
              <w:szCs w:val="32"/>
              <w:highlight w:val="none"/>
              <w:lang w:val="zh-CN"/>
            </w:rPr>
            <w:fldChar w:fldCharType="separate"/>
          </w:r>
          <w:r>
            <w:rPr>
              <w:rFonts w:hint="eastAsia" w:ascii="黑体" w:hAnsi="黑体" w:eastAsia="黑体" w:cs="黑体"/>
              <w:bCs/>
              <w:szCs w:val="32"/>
            </w:rPr>
            <w:t xml:space="preserve">第3章 </w:t>
          </w:r>
          <w:r>
            <w:rPr>
              <w:rFonts w:hint="eastAsia" w:ascii="黑体" w:hAnsi="黑体" w:eastAsia="黑体" w:cs="黑体"/>
              <w:bCs/>
              <w:szCs w:val="32"/>
              <w:highlight w:val="none"/>
            </w:rPr>
            <w:t>问题摸排情况</w:t>
          </w:r>
          <w:r>
            <w:tab/>
          </w:r>
          <w:r>
            <w:fldChar w:fldCharType="begin"/>
          </w:r>
          <w:r>
            <w:instrText xml:space="preserve"> PAGEREF _Toc20260 \h </w:instrText>
          </w:r>
          <w:r>
            <w:fldChar w:fldCharType="separate"/>
          </w:r>
          <w:r>
            <w:t>19</w:t>
          </w:r>
          <w:r>
            <w:fldChar w:fldCharType="end"/>
          </w:r>
          <w:r>
            <w:rPr>
              <w:rFonts w:hint="eastAsia" w:ascii="仿宋" w:hAnsi="仿宋" w:eastAsia="仿宋" w:cs="仿宋"/>
              <w:bCs/>
              <w:szCs w:val="32"/>
              <w:highlight w:val="none"/>
              <w:lang w:val="zh-CN"/>
            </w:rPr>
            <w:fldChar w:fldCharType="end"/>
          </w:r>
        </w:p>
        <w:p w14:paraId="61114766">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_Toc15568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3.1 </w:t>
          </w:r>
          <w:r>
            <w:rPr>
              <w:rFonts w:hint="eastAsia" w:ascii="楷体" w:hAnsi="楷体" w:eastAsia="楷体" w:cs="楷体"/>
              <w:szCs w:val="32"/>
              <w:highlight w:val="none"/>
            </w:rPr>
            <w:t>摸排内容</w:t>
          </w:r>
          <w:r>
            <w:tab/>
          </w:r>
          <w:r>
            <w:fldChar w:fldCharType="begin"/>
          </w:r>
          <w:r>
            <w:instrText xml:space="preserve"> PAGEREF _Toc15568 \h </w:instrText>
          </w:r>
          <w:r>
            <w:fldChar w:fldCharType="separate"/>
          </w:r>
          <w:r>
            <w:t>19</w:t>
          </w:r>
          <w:r>
            <w:fldChar w:fldCharType="end"/>
          </w:r>
          <w:r>
            <w:rPr>
              <w:rFonts w:hint="eastAsia" w:ascii="仿宋" w:hAnsi="仿宋" w:eastAsia="仿宋" w:cs="仿宋"/>
              <w:bCs/>
              <w:szCs w:val="32"/>
              <w:highlight w:val="none"/>
              <w:lang w:val="zh-CN"/>
            </w:rPr>
            <w:fldChar w:fldCharType="end"/>
          </w:r>
        </w:p>
        <w:p w14:paraId="0C7E2CF4">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_Toc10897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3.1.1 </w:t>
          </w:r>
          <w:r>
            <w:rPr>
              <w:rFonts w:hint="eastAsia" w:ascii="仿宋_GB2312" w:hAnsi="仿宋_GB2312" w:eastAsia="仿宋_GB2312" w:cs="仿宋_GB2312"/>
              <w:szCs w:val="32"/>
              <w:highlight w:val="none"/>
            </w:rPr>
            <w:t>规模化供水工程</w:t>
          </w:r>
          <w:r>
            <w:tab/>
          </w:r>
          <w:r>
            <w:fldChar w:fldCharType="begin"/>
          </w:r>
          <w:r>
            <w:instrText xml:space="preserve"> PAGEREF _Toc10897 \h </w:instrText>
          </w:r>
          <w:r>
            <w:fldChar w:fldCharType="separate"/>
          </w:r>
          <w:r>
            <w:t>19</w:t>
          </w:r>
          <w:r>
            <w:fldChar w:fldCharType="end"/>
          </w:r>
          <w:r>
            <w:rPr>
              <w:rFonts w:hint="eastAsia" w:ascii="仿宋" w:hAnsi="仿宋" w:eastAsia="仿宋" w:cs="仿宋"/>
              <w:bCs/>
              <w:szCs w:val="32"/>
              <w:highlight w:val="none"/>
              <w:lang w:val="zh-CN"/>
            </w:rPr>
            <w:fldChar w:fldCharType="end"/>
          </w:r>
        </w:p>
        <w:p w14:paraId="21228E47">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_Toc25716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3.1.2 </w:t>
          </w:r>
          <w:r>
            <w:rPr>
              <w:rFonts w:hint="eastAsia" w:ascii="仿宋_GB2312" w:hAnsi="仿宋_GB2312" w:eastAsia="仿宋_GB2312" w:cs="仿宋_GB2312"/>
              <w:szCs w:val="32"/>
              <w:highlight w:val="none"/>
            </w:rPr>
            <w:t>单户分散式供水工程</w:t>
          </w:r>
          <w:r>
            <w:tab/>
          </w:r>
          <w:r>
            <w:fldChar w:fldCharType="begin"/>
          </w:r>
          <w:r>
            <w:instrText xml:space="preserve"> PAGEREF _Toc25716 \h </w:instrText>
          </w:r>
          <w:r>
            <w:fldChar w:fldCharType="separate"/>
          </w:r>
          <w:r>
            <w:t>21</w:t>
          </w:r>
          <w:r>
            <w:fldChar w:fldCharType="end"/>
          </w:r>
          <w:r>
            <w:rPr>
              <w:rFonts w:hint="eastAsia" w:ascii="仿宋" w:hAnsi="仿宋" w:eastAsia="仿宋" w:cs="仿宋"/>
              <w:bCs/>
              <w:szCs w:val="32"/>
              <w:highlight w:val="none"/>
              <w:lang w:val="zh-CN"/>
            </w:rPr>
            <w:fldChar w:fldCharType="end"/>
          </w:r>
        </w:p>
        <w:p w14:paraId="720C7CE2">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_Toc30472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3.2 </w:t>
          </w:r>
          <w:r>
            <w:rPr>
              <w:rFonts w:hint="eastAsia" w:ascii="楷体" w:hAnsi="楷体" w:eastAsia="楷体" w:cs="楷体"/>
              <w:szCs w:val="32"/>
              <w:highlight w:val="none"/>
            </w:rPr>
            <w:t>摸排结果及存在问题</w:t>
          </w:r>
          <w:r>
            <w:tab/>
          </w:r>
          <w:r>
            <w:fldChar w:fldCharType="begin"/>
          </w:r>
          <w:r>
            <w:instrText xml:space="preserve"> PAGEREF _Toc30472 \h </w:instrText>
          </w:r>
          <w:r>
            <w:fldChar w:fldCharType="separate"/>
          </w:r>
          <w:r>
            <w:t>21</w:t>
          </w:r>
          <w:r>
            <w:fldChar w:fldCharType="end"/>
          </w:r>
          <w:r>
            <w:rPr>
              <w:rFonts w:hint="eastAsia" w:ascii="仿宋" w:hAnsi="仿宋" w:eastAsia="仿宋" w:cs="仿宋"/>
              <w:bCs/>
              <w:szCs w:val="32"/>
              <w:highlight w:val="none"/>
              <w:lang w:val="zh-CN"/>
            </w:rPr>
            <w:fldChar w:fldCharType="end"/>
          </w:r>
        </w:p>
        <w:p w14:paraId="137B3731">
          <w:pPr>
            <w:pStyle w:val="21"/>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_Toc21126 </w:instrText>
          </w:r>
          <w:r>
            <w:rPr>
              <w:rFonts w:hint="eastAsia" w:ascii="仿宋" w:hAnsi="仿宋" w:eastAsia="仿宋" w:cs="仿宋"/>
              <w:bCs/>
              <w:szCs w:val="32"/>
              <w:highlight w:val="none"/>
              <w:lang w:val="zh-CN"/>
            </w:rPr>
            <w:fldChar w:fldCharType="separate"/>
          </w:r>
          <w:r>
            <w:rPr>
              <w:rFonts w:hint="eastAsia" w:ascii="黑体" w:hAnsi="黑体" w:eastAsia="黑体" w:cs="黑体"/>
              <w:bCs/>
              <w:szCs w:val="32"/>
            </w:rPr>
            <w:t xml:space="preserve">第4章 </w:t>
          </w:r>
          <w:r>
            <w:rPr>
              <w:rFonts w:hint="eastAsia" w:ascii="黑体" w:hAnsi="黑体" w:eastAsia="黑体" w:cs="黑体"/>
              <w:bCs/>
              <w:szCs w:val="32"/>
              <w:highlight w:val="none"/>
            </w:rPr>
            <w:t>整改任务与目标</w:t>
          </w:r>
          <w:r>
            <w:tab/>
          </w:r>
          <w:r>
            <w:fldChar w:fldCharType="begin"/>
          </w:r>
          <w:r>
            <w:instrText xml:space="preserve"> PAGEREF _Toc21126 \h </w:instrText>
          </w:r>
          <w:r>
            <w:fldChar w:fldCharType="separate"/>
          </w:r>
          <w:r>
            <w:t>22</w:t>
          </w:r>
          <w:r>
            <w:fldChar w:fldCharType="end"/>
          </w:r>
          <w:r>
            <w:rPr>
              <w:rFonts w:hint="eastAsia" w:ascii="仿宋" w:hAnsi="仿宋" w:eastAsia="仿宋" w:cs="仿宋"/>
              <w:bCs/>
              <w:szCs w:val="32"/>
              <w:highlight w:val="none"/>
              <w:lang w:val="zh-CN"/>
            </w:rPr>
            <w:fldChar w:fldCharType="end"/>
          </w:r>
        </w:p>
        <w:p w14:paraId="05C019A0">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_Toc26757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4.1 </w:t>
          </w:r>
          <w:r>
            <w:rPr>
              <w:rFonts w:hint="eastAsia" w:ascii="楷体" w:hAnsi="楷体" w:eastAsia="楷体" w:cs="楷体"/>
              <w:szCs w:val="32"/>
              <w:highlight w:val="none"/>
            </w:rPr>
            <w:t>整改任务</w:t>
          </w:r>
          <w:r>
            <w:tab/>
          </w:r>
          <w:r>
            <w:fldChar w:fldCharType="begin"/>
          </w:r>
          <w:r>
            <w:instrText xml:space="preserve"> PAGEREF _Toc26757 \h </w:instrText>
          </w:r>
          <w:r>
            <w:fldChar w:fldCharType="separate"/>
          </w:r>
          <w:r>
            <w:t>22</w:t>
          </w:r>
          <w:r>
            <w:fldChar w:fldCharType="end"/>
          </w:r>
          <w:r>
            <w:rPr>
              <w:rFonts w:hint="eastAsia" w:ascii="仿宋" w:hAnsi="仿宋" w:eastAsia="仿宋" w:cs="仿宋"/>
              <w:bCs/>
              <w:szCs w:val="32"/>
              <w:highlight w:val="none"/>
              <w:lang w:val="zh-CN"/>
            </w:rPr>
            <w:fldChar w:fldCharType="end"/>
          </w:r>
        </w:p>
        <w:p w14:paraId="5DE85C24">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_Toc15428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4.2 </w:t>
          </w:r>
          <w:r>
            <w:rPr>
              <w:rFonts w:hint="eastAsia" w:ascii="楷体" w:hAnsi="楷体" w:eastAsia="楷体" w:cs="楷体"/>
              <w:szCs w:val="32"/>
              <w:highlight w:val="none"/>
            </w:rPr>
            <w:t>薄弱环节整治三年行动总体布置</w:t>
          </w:r>
          <w:r>
            <w:tab/>
          </w:r>
          <w:r>
            <w:fldChar w:fldCharType="begin"/>
          </w:r>
          <w:r>
            <w:instrText xml:space="preserve"> PAGEREF _Toc15428 \h </w:instrText>
          </w:r>
          <w:r>
            <w:fldChar w:fldCharType="separate"/>
          </w:r>
          <w:r>
            <w:t>22</w:t>
          </w:r>
          <w:r>
            <w:fldChar w:fldCharType="end"/>
          </w:r>
          <w:r>
            <w:rPr>
              <w:rFonts w:hint="eastAsia" w:ascii="仿宋" w:hAnsi="仿宋" w:eastAsia="仿宋" w:cs="仿宋"/>
              <w:bCs/>
              <w:szCs w:val="32"/>
              <w:highlight w:val="none"/>
              <w:lang w:val="zh-CN"/>
            </w:rPr>
            <w:fldChar w:fldCharType="end"/>
          </w:r>
        </w:p>
        <w:p w14:paraId="71B1B9DF">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_Toc19909 </w:instrText>
          </w:r>
          <w:r>
            <w:rPr>
              <w:rFonts w:hint="eastAsia" w:ascii="仿宋" w:hAnsi="仿宋" w:eastAsia="仿宋" w:cs="仿宋"/>
              <w:bCs/>
              <w:szCs w:val="32"/>
              <w:highlight w:val="none"/>
              <w:lang w:val="zh-CN"/>
            </w:rPr>
            <w:fldChar w:fldCharType="separate"/>
          </w:r>
          <w:r>
            <w:rPr>
              <w:rFonts w:hint="eastAsia" w:ascii="仿宋_GB2312" w:hAnsi="仿宋_GB2312" w:eastAsia="仿宋_GB2312" w:cs="仿宋_GB2312"/>
              <w:szCs w:val="32"/>
            </w:rPr>
            <w:t>4.2.1薄弱环节整治行动2025年布置情况</w:t>
          </w:r>
          <w:r>
            <w:tab/>
          </w:r>
          <w:r>
            <w:fldChar w:fldCharType="begin"/>
          </w:r>
          <w:r>
            <w:instrText xml:space="preserve"> PAGEREF _Toc19909 \h </w:instrText>
          </w:r>
          <w:r>
            <w:fldChar w:fldCharType="separate"/>
          </w:r>
          <w:r>
            <w:t>22</w:t>
          </w:r>
          <w:r>
            <w:fldChar w:fldCharType="end"/>
          </w:r>
          <w:r>
            <w:rPr>
              <w:rFonts w:hint="eastAsia" w:ascii="仿宋" w:hAnsi="仿宋" w:eastAsia="仿宋" w:cs="仿宋"/>
              <w:bCs/>
              <w:szCs w:val="32"/>
              <w:highlight w:val="none"/>
              <w:lang w:val="zh-CN"/>
            </w:rPr>
            <w:fldChar w:fldCharType="end"/>
          </w:r>
        </w:p>
        <w:p w14:paraId="77E41236">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_Toc18740 </w:instrText>
          </w:r>
          <w:r>
            <w:rPr>
              <w:rFonts w:hint="eastAsia" w:ascii="仿宋" w:hAnsi="仿宋" w:eastAsia="仿宋" w:cs="仿宋"/>
              <w:bCs/>
              <w:szCs w:val="32"/>
              <w:highlight w:val="none"/>
              <w:lang w:val="zh-CN"/>
            </w:rPr>
            <w:fldChar w:fldCharType="separate"/>
          </w:r>
          <w:r>
            <w:rPr>
              <w:rFonts w:hint="eastAsia" w:ascii="仿宋_GB2312" w:hAnsi="仿宋_GB2312" w:eastAsia="仿宋_GB2312" w:cs="仿宋_GB2312"/>
              <w:szCs w:val="32"/>
            </w:rPr>
            <w:t>4.2.2薄弱环节整治行动2026年布置情况</w:t>
          </w:r>
          <w:r>
            <w:tab/>
          </w:r>
          <w:r>
            <w:fldChar w:fldCharType="begin"/>
          </w:r>
          <w:r>
            <w:instrText xml:space="preserve"> PAGEREF _Toc18740 \h </w:instrText>
          </w:r>
          <w:r>
            <w:fldChar w:fldCharType="separate"/>
          </w:r>
          <w:r>
            <w:t>22</w:t>
          </w:r>
          <w:r>
            <w:fldChar w:fldCharType="end"/>
          </w:r>
          <w:r>
            <w:rPr>
              <w:rFonts w:hint="eastAsia" w:ascii="仿宋" w:hAnsi="仿宋" w:eastAsia="仿宋" w:cs="仿宋"/>
              <w:bCs/>
              <w:szCs w:val="32"/>
              <w:highlight w:val="none"/>
              <w:lang w:val="zh-CN"/>
            </w:rPr>
            <w:fldChar w:fldCharType="end"/>
          </w:r>
        </w:p>
        <w:p w14:paraId="0DF51429">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_Toc1158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4.3 </w:t>
          </w:r>
          <w:r>
            <w:rPr>
              <w:rFonts w:hint="eastAsia" w:ascii="楷体" w:hAnsi="楷体" w:eastAsia="楷体" w:cs="楷体"/>
              <w:szCs w:val="32"/>
              <w:highlight w:val="none"/>
            </w:rPr>
            <w:t>整改目标</w:t>
          </w:r>
          <w:r>
            <w:tab/>
          </w:r>
          <w:r>
            <w:fldChar w:fldCharType="begin"/>
          </w:r>
          <w:r>
            <w:instrText xml:space="preserve"> PAGEREF _Toc1158 \h </w:instrText>
          </w:r>
          <w:r>
            <w:fldChar w:fldCharType="separate"/>
          </w:r>
          <w:r>
            <w:t>23</w:t>
          </w:r>
          <w:r>
            <w:fldChar w:fldCharType="end"/>
          </w:r>
          <w:r>
            <w:rPr>
              <w:rFonts w:hint="eastAsia" w:ascii="仿宋" w:hAnsi="仿宋" w:eastAsia="仿宋" w:cs="仿宋"/>
              <w:bCs/>
              <w:szCs w:val="32"/>
              <w:highlight w:val="none"/>
              <w:lang w:val="zh-CN"/>
            </w:rPr>
            <w:fldChar w:fldCharType="end"/>
          </w:r>
        </w:p>
        <w:p w14:paraId="7D7D4BA3">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_Toc20836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4.3.1 </w:t>
          </w:r>
          <w:r>
            <w:rPr>
              <w:rFonts w:hint="eastAsia" w:ascii="仿宋_GB2312" w:hAnsi="仿宋_GB2312" w:eastAsia="仿宋_GB2312" w:cs="仿宋_GB2312"/>
              <w:szCs w:val="32"/>
              <w:highlight w:val="none"/>
            </w:rPr>
            <w:t>工程目标</w:t>
          </w:r>
          <w:r>
            <w:tab/>
          </w:r>
          <w:r>
            <w:fldChar w:fldCharType="begin"/>
          </w:r>
          <w:r>
            <w:instrText xml:space="preserve"> PAGEREF _Toc20836 \h </w:instrText>
          </w:r>
          <w:r>
            <w:fldChar w:fldCharType="separate"/>
          </w:r>
          <w:r>
            <w:t>23</w:t>
          </w:r>
          <w:r>
            <w:fldChar w:fldCharType="end"/>
          </w:r>
          <w:r>
            <w:rPr>
              <w:rFonts w:hint="eastAsia" w:ascii="仿宋" w:hAnsi="仿宋" w:eastAsia="仿宋" w:cs="仿宋"/>
              <w:bCs/>
              <w:szCs w:val="32"/>
              <w:highlight w:val="none"/>
              <w:lang w:val="zh-CN"/>
            </w:rPr>
            <w:fldChar w:fldCharType="end"/>
          </w:r>
        </w:p>
        <w:p w14:paraId="56F07D3F">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_Toc5945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4.3.2 </w:t>
          </w:r>
          <w:r>
            <w:rPr>
              <w:rFonts w:hint="eastAsia" w:ascii="仿宋_GB2312" w:hAnsi="仿宋_GB2312" w:eastAsia="仿宋_GB2312" w:cs="仿宋_GB2312"/>
              <w:szCs w:val="32"/>
              <w:highlight w:val="none"/>
            </w:rPr>
            <w:t>县域统管目标</w:t>
          </w:r>
          <w:r>
            <w:tab/>
          </w:r>
          <w:r>
            <w:fldChar w:fldCharType="begin"/>
          </w:r>
          <w:r>
            <w:instrText xml:space="preserve"> PAGEREF _Toc5945 \h </w:instrText>
          </w:r>
          <w:r>
            <w:fldChar w:fldCharType="separate"/>
          </w:r>
          <w:r>
            <w:t>23</w:t>
          </w:r>
          <w:r>
            <w:fldChar w:fldCharType="end"/>
          </w:r>
          <w:r>
            <w:rPr>
              <w:rFonts w:hint="eastAsia" w:ascii="仿宋" w:hAnsi="仿宋" w:eastAsia="仿宋" w:cs="仿宋"/>
              <w:bCs/>
              <w:szCs w:val="32"/>
              <w:highlight w:val="none"/>
              <w:lang w:val="zh-CN"/>
            </w:rPr>
            <w:fldChar w:fldCharType="end"/>
          </w:r>
        </w:p>
        <w:p w14:paraId="2341BF8C">
          <w:pPr>
            <w:pStyle w:val="21"/>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_Toc27453 </w:instrText>
          </w:r>
          <w:r>
            <w:rPr>
              <w:rFonts w:hint="eastAsia" w:ascii="仿宋" w:hAnsi="仿宋" w:eastAsia="仿宋" w:cs="仿宋"/>
              <w:bCs/>
              <w:szCs w:val="32"/>
              <w:highlight w:val="none"/>
              <w:lang w:val="zh-CN"/>
            </w:rPr>
            <w:fldChar w:fldCharType="separate"/>
          </w:r>
          <w:r>
            <w:rPr>
              <w:rFonts w:hint="eastAsia" w:ascii="黑体" w:hAnsi="黑体" w:eastAsia="黑体" w:cs="黑体"/>
              <w:bCs/>
              <w:szCs w:val="32"/>
            </w:rPr>
            <w:t xml:space="preserve">第5章 </w:t>
          </w:r>
          <w:r>
            <w:rPr>
              <w:rFonts w:hint="eastAsia" w:ascii="黑体" w:hAnsi="黑体" w:eastAsia="黑体" w:cs="黑体"/>
              <w:bCs/>
              <w:szCs w:val="32"/>
              <w:highlight w:val="none"/>
            </w:rPr>
            <w:t>工程举措</w:t>
          </w:r>
          <w:r>
            <w:tab/>
          </w:r>
          <w:r>
            <w:fldChar w:fldCharType="begin"/>
          </w:r>
          <w:r>
            <w:instrText xml:space="preserve"> PAGEREF _Toc27453 \h </w:instrText>
          </w:r>
          <w:r>
            <w:fldChar w:fldCharType="separate"/>
          </w:r>
          <w:r>
            <w:t>24</w:t>
          </w:r>
          <w:r>
            <w:fldChar w:fldCharType="end"/>
          </w:r>
          <w:r>
            <w:rPr>
              <w:rFonts w:hint="eastAsia" w:ascii="仿宋" w:hAnsi="仿宋" w:eastAsia="仿宋" w:cs="仿宋"/>
              <w:bCs/>
              <w:szCs w:val="32"/>
              <w:highlight w:val="none"/>
              <w:lang w:val="zh-CN"/>
            </w:rPr>
            <w:fldChar w:fldCharType="end"/>
          </w:r>
        </w:p>
        <w:p w14:paraId="64EB801E">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_Toc5801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5.1 </w:t>
          </w:r>
          <w:r>
            <w:rPr>
              <w:rFonts w:hint="eastAsia" w:ascii="楷体" w:hAnsi="楷体" w:eastAsia="楷体" w:cs="楷体"/>
              <w:szCs w:val="32"/>
              <w:highlight w:val="none"/>
            </w:rPr>
            <w:t>规模化供水工程整改措施</w:t>
          </w:r>
          <w:r>
            <w:tab/>
          </w:r>
          <w:r>
            <w:fldChar w:fldCharType="begin"/>
          </w:r>
          <w:r>
            <w:instrText xml:space="preserve"> PAGEREF _Toc5801 \h </w:instrText>
          </w:r>
          <w:r>
            <w:fldChar w:fldCharType="separate"/>
          </w:r>
          <w:r>
            <w:t>24</w:t>
          </w:r>
          <w:r>
            <w:fldChar w:fldCharType="end"/>
          </w:r>
          <w:r>
            <w:rPr>
              <w:rFonts w:hint="eastAsia" w:ascii="仿宋" w:hAnsi="仿宋" w:eastAsia="仿宋" w:cs="仿宋"/>
              <w:bCs/>
              <w:szCs w:val="32"/>
              <w:highlight w:val="none"/>
              <w:lang w:val="zh-CN"/>
            </w:rPr>
            <w:fldChar w:fldCharType="end"/>
          </w:r>
        </w:p>
        <w:p w14:paraId="5911CBA4">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_Toc29550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5.2 </w:t>
          </w:r>
          <w:r>
            <w:rPr>
              <w:rFonts w:hint="eastAsia" w:ascii="楷体" w:hAnsi="楷体" w:eastAsia="楷体" w:cs="楷体"/>
              <w:szCs w:val="32"/>
              <w:highlight w:val="none"/>
            </w:rPr>
            <w:t>单户分散式供水工程整改措施</w:t>
          </w:r>
          <w:r>
            <w:tab/>
          </w:r>
          <w:r>
            <w:fldChar w:fldCharType="begin"/>
          </w:r>
          <w:r>
            <w:instrText xml:space="preserve"> PAGEREF _Toc29550 \h </w:instrText>
          </w:r>
          <w:r>
            <w:fldChar w:fldCharType="separate"/>
          </w:r>
          <w:r>
            <w:t>25</w:t>
          </w:r>
          <w:r>
            <w:fldChar w:fldCharType="end"/>
          </w:r>
          <w:r>
            <w:rPr>
              <w:rFonts w:hint="eastAsia" w:ascii="仿宋" w:hAnsi="仿宋" w:eastAsia="仿宋" w:cs="仿宋"/>
              <w:bCs/>
              <w:szCs w:val="32"/>
              <w:highlight w:val="none"/>
              <w:lang w:val="zh-CN"/>
            </w:rPr>
            <w:fldChar w:fldCharType="end"/>
          </w:r>
        </w:p>
        <w:p w14:paraId="7732DF4D">
          <w:pPr>
            <w:pStyle w:val="21"/>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_Toc20533 </w:instrText>
          </w:r>
          <w:r>
            <w:rPr>
              <w:rFonts w:hint="eastAsia" w:ascii="仿宋" w:hAnsi="仿宋" w:eastAsia="仿宋" w:cs="仿宋"/>
              <w:bCs/>
              <w:szCs w:val="32"/>
              <w:highlight w:val="none"/>
              <w:lang w:val="zh-CN"/>
            </w:rPr>
            <w:fldChar w:fldCharType="separate"/>
          </w:r>
          <w:r>
            <w:rPr>
              <w:rFonts w:hint="eastAsia" w:ascii="黑体" w:hAnsi="黑体" w:eastAsia="黑体" w:cs="黑体"/>
              <w:bCs/>
              <w:szCs w:val="32"/>
            </w:rPr>
            <w:t xml:space="preserve">第6章 </w:t>
          </w:r>
          <w:r>
            <w:rPr>
              <w:rFonts w:hint="eastAsia" w:ascii="黑体" w:hAnsi="黑体" w:eastAsia="黑体" w:cs="黑体"/>
              <w:bCs/>
              <w:szCs w:val="32"/>
              <w:highlight w:val="none"/>
            </w:rPr>
            <w:t>县域统管</w:t>
          </w:r>
          <w:r>
            <w:tab/>
          </w:r>
          <w:r>
            <w:fldChar w:fldCharType="begin"/>
          </w:r>
          <w:r>
            <w:instrText xml:space="preserve"> PAGEREF _Toc20533 \h </w:instrText>
          </w:r>
          <w:r>
            <w:fldChar w:fldCharType="separate"/>
          </w:r>
          <w:r>
            <w:t>28</w:t>
          </w:r>
          <w:r>
            <w:fldChar w:fldCharType="end"/>
          </w:r>
          <w:r>
            <w:rPr>
              <w:rFonts w:hint="eastAsia" w:ascii="仿宋" w:hAnsi="仿宋" w:eastAsia="仿宋" w:cs="仿宋"/>
              <w:bCs/>
              <w:szCs w:val="32"/>
              <w:highlight w:val="none"/>
              <w:lang w:val="zh-CN"/>
            </w:rPr>
            <w:fldChar w:fldCharType="end"/>
          </w:r>
        </w:p>
        <w:p w14:paraId="2D77E225">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_Toc5887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6.1 </w:t>
          </w:r>
          <w:r>
            <w:rPr>
              <w:rFonts w:hint="eastAsia" w:ascii="楷体" w:hAnsi="楷体" w:eastAsia="楷体" w:cs="楷体"/>
              <w:szCs w:val="32"/>
              <w:highlight w:val="none"/>
            </w:rPr>
            <w:t>统管主体及介绍</w:t>
          </w:r>
          <w:r>
            <w:tab/>
          </w:r>
          <w:r>
            <w:fldChar w:fldCharType="begin"/>
          </w:r>
          <w:r>
            <w:instrText xml:space="preserve"> PAGEREF _Toc5887 \h </w:instrText>
          </w:r>
          <w:r>
            <w:fldChar w:fldCharType="separate"/>
          </w:r>
          <w:r>
            <w:t>28</w:t>
          </w:r>
          <w:r>
            <w:fldChar w:fldCharType="end"/>
          </w:r>
          <w:r>
            <w:rPr>
              <w:rFonts w:hint="eastAsia" w:ascii="仿宋" w:hAnsi="仿宋" w:eastAsia="仿宋" w:cs="仿宋"/>
              <w:bCs/>
              <w:szCs w:val="32"/>
              <w:highlight w:val="none"/>
              <w:lang w:val="zh-CN"/>
            </w:rPr>
            <w:fldChar w:fldCharType="end"/>
          </w:r>
        </w:p>
        <w:p w14:paraId="17210FE8">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_Toc4339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6.2 </w:t>
          </w:r>
          <w:r>
            <w:rPr>
              <w:rFonts w:hint="eastAsia" w:ascii="楷体" w:hAnsi="楷体" w:eastAsia="楷体" w:cs="楷体"/>
              <w:szCs w:val="32"/>
              <w:highlight w:val="none"/>
            </w:rPr>
            <w:t>管理组织架构</w:t>
          </w:r>
          <w:r>
            <w:tab/>
          </w:r>
          <w:r>
            <w:fldChar w:fldCharType="begin"/>
          </w:r>
          <w:r>
            <w:instrText xml:space="preserve"> PAGEREF _Toc4339 \h </w:instrText>
          </w:r>
          <w:r>
            <w:fldChar w:fldCharType="separate"/>
          </w:r>
          <w:r>
            <w:t>28</w:t>
          </w:r>
          <w:r>
            <w:fldChar w:fldCharType="end"/>
          </w:r>
          <w:r>
            <w:rPr>
              <w:rFonts w:hint="eastAsia" w:ascii="仿宋" w:hAnsi="仿宋" w:eastAsia="仿宋" w:cs="仿宋"/>
              <w:bCs/>
              <w:szCs w:val="32"/>
              <w:highlight w:val="none"/>
              <w:lang w:val="zh-CN"/>
            </w:rPr>
            <w:fldChar w:fldCharType="end"/>
          </w:r>
        </w:p>
        <w:p w14:paraId="397D066E">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_Toc27471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6.3 </w:t>
          </w:r>
          <w:r>
            <w:rPr>
              <w:rFonts w:hint="eastAsia" w:ascii="楷体" w:hAnsi="楷体" w:eastAsia="楷体" w:cs="楷体"/>
              <w:szCs w:val="32"/>
              <w:highlight w:val="none"/>
            </w:rPr>
            <w:t>专业化管理运维队伍建设</w:t>
          </w:r>
          <w:r>
            <w:tab/>
          </w:r>
          <w:r>
            <w:fldChar w:fldCharType="begin"/>
          </w:r>
          <w:r>
            <w:instrText xml:space="preserve"> PAGEREF _Toc27471 \h </w:instrText>
          </w:r>
          <w:r>
            <w:fldChar w:fldCharType="separate"/>
          </w:r>
          <w:r>
            <w:t>29</w:t>
          </w:r>
          <w:r>
            <w:fldChar w:fldCharType="end"/>
          </w:r>
          <w:r>
            <w:rPr>
              <w:rFonts w:hint="eastAsia" w:ascii="仿宋" w:hAnsi="仿宋" w:eastAsia="仿宋" w:cs="仿宋"/>
              <w:bCs/>
              <w:szCs w:val="32"/>
              <w:highlight w:val="none"/>
              <w:lang w:val="zh-CN"/>
            </w:rPr>
            <w:fldChar w:fldCharType="end"/>
          </w:r>
        </w:p>
        <w:p w14:paraId="5A8E13E1">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_Toc10758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6.4 </w:t>
          </w:r>
          <w:r>
            <w:rPr>
              <w:rFonts w:hint="eastAsia" w:ascii="楷体" w:hAnsi="楷体" w:eastAsia="楷体" w:cs="楷体"/>
              <w:szCs w:val="32"/>
              <w:highlight w:val="none"/>
            </w:rPr>
            <w:t>网格化分片区管理</w:t>
          </w:r>
          <w:r>
            <w:tab/>
          </w:r>
          <w:r>
            <w:fldChar w:fldCharType="begin"/>
          </w:r>
          <w:r>
            <w:instrText xml:space="preserve"> PAGEREF _Toc10758 \h </w:instrText>
          </w:r>
          <w:r>
            <w:fldChar w:fldCharType="separate"/>
          </w:r>
          <w:r>
            <w:t>30</w:t>
          </w:r>
          <w:r>
            <w:fldChar w:fldCharType="end"/>
          </w:r>
          <w:r>
            <w:rPr>
              <w:rFonts w:hint="eastAsia" w:ascii="仿宋" w:hAnsi="仿宋" w:eastAsia="仿宋" w:cs="仿宋"/>
              <w:bCs/>
              <w:szCs w:val="32"/>
              <w:highlight w:val="none"/>
              <w:lang w:val="zh-CN"/>
            </w:rPr>
            <w:fldChar w:fldCharType="end"/>
          </w:r>
        </w:p>
        <w:p w14:paraId="13131246">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_Toc20783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6.5 </w:t>
          </w:r>
          <w:r>
            <w:rPr>
              <w:rFonts w:hint="eastAsia" w:ascii="楷体" w:hAnsi="楷体" w:eastAsia="楷体" w:cs="楷体"/>
              <w:szCs w:val="32"/>
              <w:highlight w:val="none"/>
            </w:rPr>
            <w:t>巡查养护制度</w:t>
          </w:r>
          <w:r>
            <w:tab/>
          </w:r>
          <w:r>
            <w:fldChar w:fldCharType="begin"/>
          </w:r>
          <w:r>
            <w:instrText xml:space="preserve"> PAGEREF _Toc20783 \h </w:instrText>
          </w:r>
          <w:r>
            <w:fldChar w:fldCharType="separate"/>
          </w:r>
          <w:r>
            <w:t>31</w:t>
          </w:r>
          <w:r>
            <w:fldChar w:fldCharType="end"/>
          </w:r>
          <w:r>
            <w:rPr>
              <w:rFonts w:hint="eastAsia" w:ascii="仿宋" w:hAnsi="仿宋" w:eastAsia="仿宋" w:cs="仿宋"/>
              <w:bCs/>
              <w:szCs w:val="32"/>
              <w:highlight w:val="none"/>
              <w:lang w:val="zh-CN"/>
            </w:rPr>
            <w:fldChar w:fldCharType="end"/>
          </w:r>
        </w:p>
        <w:p w14:paraId="317723FF">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_Toc3001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6.6 </w:t>
          </w:r>
          <w:r>
            <w:rPr>
              <w:rFonts w:hint="eastAsia" w:ascii="楷体" w:hAnsi="楷体" w:eastAsia="楷体" w:cs="楷体"/>
              <w:szCs w:val="32"/>
              <w:highlight w:val="none"/>
            </w:rPr>
            <w:t>水质检测及监测</w:t>
          </w:r>
          <w:r>
            <w:tab/>
          </w:r>
          <w:r>
            <w:fldChar w:fldCharType="begin"/>
          </w:r>
          <w:r>
            <w:instrText xml:space="preserve"> PAGEREF _Toc3001 \h </w:instrText>
          </w:r>
          <w:r>
            <w:fldChar w:fldCharType="separate"/>
          </w:r>
          <w:r>
            <w:t>31</w:t>
          </w:r>
          <w:r>
            <w:fldChar w:fldCharType="end"/>
          </w:r>
          <w:r>
            <w:rPr>
              <w:rFonts w:hint="eastAsia" w:ascii="仿宋" w:hAnsi="仿宋" w:eastAsia="仿宋" w:cs="仿宋"/>
              <w:bCs/>
              <w:szCs w:val="32"/>
              <w:highlight w:val="none"/>
              <w:lang w:val="zh-CN"/>
            </w:rPr>
            <w:fldChar w:fldCharType="end"/>
          </w:r>
        </w:p>
        <w:p w14:paraId="616A8A5C">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_Toc32313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6.7 </w:t>
          </w:r>
          <w:r>
            <w:rPr>
              <w:rFonts w:hint="eastAsia" w:ascii="楷体" w:hAnsi="楷体" w:eastAsia="楷体" w:cs="楷体"/>
              <w:szCs w:val="32"/>
              <w:highlight w:val="none"/>
            </w:rPr>
            <w:t>应急保障</w:t>
          </w:r>
          <w:r>
            <w:tab/>
          </w:r>
          <w:r>
            <w:fldChar w:fldCharType="begin"/>
          </w:r>
          <w:r>
            <w:instrText xml:space="preserve"> PAGEREF _Toc32313 \h </w:instrText>
          </w:r>
          <w:r>
            <w:fldChar w:fldCharType="separate"/>
          </w:r>
          <w:r>
            <w:t>32</w:t>
          </w:r>
          <w:r>
            <w:fldChar w:fldCharType="end"/>
          </w:r>
          <w:r>
            <w:rPr>
              <w:rFonts w:hint="eastAsia" w:ascii="仿宋" w:hAnsi="仿宋" w:eastAsia="仿宋" w:cs="仿宋"/>
              <w:bCs/>
              <w:szCs w:val="32"/>
              <w:highlight w:val="none"/>
              <w:lang w:val="zh-CN"/>
            </w:rPr>
            <w:fldChar w:fldCharType="end"/>
          </w:r>
        </w:p>
        <w:p w14:paraId="1E9F4677">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_Toc27094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6.8 </w:t>
          </w:r>
          <w:r>
            <w:rPr>
              <w:rFonts w:hint="eastAsia" w:ascii="楷体" w:hAnsi="楷体" w:eastAsia="楷体" w:cs="楷体"/>
              <w:szCs w:val="32"/>
              <w:highlight w:val="none"/>
            </w:rPr>
            <w:t>“1小时响应、24小时处置”问题处置机制</w:t>
          </w:r>
          <w:r>
            <w:tab/>
          </w:r>
          <w:r>
            <w:fldChar w:fldCharType="begin"/>
          </w:r>
          <w:r>
            <w:instrText xml:space="preserve"> PAGEREF _Toc27094 \h </w:instrText>
          </w:r>
          <w:r>
            <w:fldChar w:fldCharType="separate"/>
          </w:r>
          <w:r>
            <w:t>32</w:t>
          </w:r>
          <w:r>
            <w:fldChar w:fldCharType="end"/>
          </w:r>
          <w:r>
            <w:rPr>
              <w:rFonts w:hint="eastAsia" w:ascii="仿宋" w:hAnsi="仿宋" w:eastAsia="仿宋" w:cs="仿宋"/>
              <w:bCs/>
              <w:szCs w:val="32"/>
              <w:highlight w:val="none"/>
              <w:lang w:val="zh-CN"/>
            </w:rPr>
            <w:fldChar w:fldCharType="end"/>
          </w:r>
        </w:p>
        <w:p w14:paraId="59BE9A4B">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_Toc8534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6.9 </w:t>
          </w:r>
          <w:r>
            <w:rPr>
              <w:rFonts w:hint="eastAsia" w:ascii="楷体" w:hAnsi="楷体" w:eastAsia="楷体" w:cs="楷体"/>
              <w:szCs w:val="32"/>
              <w:highlight w:val="none"/>
            </w:rPr>
            <w:t>投入机制</w:t>
          </w:r>
          <w:r>
            <w:tab/>
          </w:r>
          <w:r>
            <w:fldChar w:fldCharType="begin"/>
          </w:r>
          <w:r>
            <w:instrText xml:space="preserve"> PAGEREF _Toc8534 \h </w:instrText>
          </w:r>
          <w:r>
            <w:fldChar w:fldCharType="separate"/>
          </w:r>
          <w:r>
            <w:t>32</w:t>
          </w:r>
          <w:r>
            <w:fldChar w:fldCharType="end"/>
          </w:r>
          <w:r>
            <w:rPr>
              <w:rFonts w:hint="eastAsia" w:ascii="仿宋" w:hAnsi="仿宋" w:eastAsia="仿宋" w:cs="仿宋"/>
              <w:bCs/>
              <w:szCs w:val="32"/>
              <w:highlight w:val="none"/>
              <w:lang w:val="zh-CN"/>
            </w:rPr>
            <w:fldChar w:fldCharType="end"/>
          </w:r>
        </w:p>
        <w:p w14:paraId="053B8C31">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_Toc188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highlight w:val="none"/>
              <w:lang w:eastAsia="zh"/>
              <w:woUserID w:val="1"/>
            </w:rPr>
            <w:t>6.10</w:t>
          </w:r>
          <w:r>
            <w:rPr>
              <w:rFonts w:hint="eastAsia" w:ascii="楷体" w:hAnsi="楷体" w:eastAsia="楷体" w:cs="楷体"/>
              <w:szCs w:val="32"/>
              <w:highlight w:val="none"/>
            </w:rPr>
            <w:t>水价与水费收缴机制</w:t>
          </w:r>
          <w:r>
            <w:tab/>
          </w:r>
          <w:r>
            <w:fldChar w:fldCharType="begin"/>
          </w:r>
          <w:r>
            <w:instrText xml:space="preserve"> PAGEREF _Toc188 \h </w:instrText>
          </w:r>
          <w:r>
            <w:fldChar w:fldCharType="separate"/>
          </w:r>
          <w:r>
            <w:t>33</w:t>
          </w:r>
          <w:r>
            <w:fldChar w:fldCharType="end"/>
          </w:r>
          <w:r>
            <w:rPr>
              <w:rFonts w:hint="eastAsia" w:ascii="仿宋" w:hAnsi="仿宋" w:eastAsia="仿宋" w:cs="仿宋"/>
              <w:bCs/>
              <w:szCs w:val="32"/>
              <w:highlight w:val="none"/>
              <w:lang w:val="zh-CN"/>
            </w:rPr>
            <w:fldChar w:fldCharType="end"/>
          </w:r>
        </w:p>
        <w:p w14:paraId="48EA51F2">
          <w:pPr>
            <w:pStyle w:val="21"/>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_Toc12807 </w:instrText>
          </w:r>
          <w:r>
            <w:rPr>
              <w:rFonts w:hint="eastAsia" w:ascii="仿宋" w:hAnsi="仿宋" w:eastAsia="仿宋" w:cs="仿宋"/>
              <w:bCs/>
              <w:szCs w:val="32"/>
              <w:highlight w:val="none"/>
              <w:lang w:val="zh-CN"/>
            </w:rPr>
            <w:fldChar w:fldCharType="separate"/>
          </w:r>
          <w:r>
            <w:rPr>
              <w:rFonts w:hint="eastAsia" w:ascii="黑体" w:hAnsi="黑体" w:eastAsia="黑体" w:cs="黑体"/>
              <w:bCs/>
              <w:szCs w:val="32"/>
            </w:rPr>
            <w:t xml:space="preserve">第7章 </w:t>
          </w:r>
          <w:r>
            <w:rPr>
              <w:rFonts w:hint="eastAsia" w:ascii="黑体" w:hAnsi="黑体" w:eastAsia="黑体" w:cs="黑体"/>
              <w:bCs/>
              <w:szCs w:val="32"/>
              <w:highlight w:val="none"/>
            </w:rPr>
            <w:t>典型工程设计</w:t>
          </w:r>
          <w:r>
            <w:tab/>
          </w:r>
          <w:r>
            <w:fldChar w:fldCharType="begin"/>
          </w:r>
          <w:r>
            <w:instrText xml:space="preserve"> PAGEREF _Toc12807 \h </w:instrText>
          </w:r>
          <w:r>
            <w:fldChar w:fldCharType="separate"/>
          </w:r>
          <w:r>
            <w:t>34</w:t>
          </w:r>
          <w:r>
            <w:fldChar w:fldCharType="end"/>
          </w:r>
          <w:r>
            <w:rPr>
              <w:rFonts w:hint="eastAsia" w:ascii="仿宋" w:hAnsi="仿宋" w:eastAsia="仿宋" w:cs="仿宋"/>
              <w:bCs/>
              <w:szCs w:val="32"/>
              <w:highlight w:val="none"/>
              <w:lang w:val="zh-CN"/>
            </w:rPr>
            <w:fldChar w:fldCharType="end"/>
          </w:r>
        </w:p>
        <w:p w14:paraId="14C4118E">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_Toc19488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7.1 </w:t>
          </w:r>
          <w:r>
            <w:rPr>
              <w:rFonts w:hint="eastAsia" w:ascii="楷体" w:hAnsi="楷体" w:eastAsia="楷体" w:cs="楷体"/>
              <w:szCs w:val="32"/>
              <w:highlight w:val="none"/>
            </w:rPr>
            <w:t>典型工程的选择</w:t>
          </w:r>
          <w:r>
            <w:tab/>
          </w:r>
          <w:r>
            <w:fldChar w:fldCharType="begin"/>
          </w:r>
          <w:r>
            <w:instrText xml:space="preserve"> PAGEREF _Toc19488 \h </w:instrText>
          </w:r>
          <w:r>
            <w:fldChar w:fldCharType="separate"/>
          </w:r>
          <w:r>
            <w:t>34</w:t>
          </w:r>
          <w:r>
            <w:fldChar w:fldCharType="end"/>
          </w:r>
          <w:r>
            <w:rPr>
              <w:rFonts w:hint="eastAsia" w:ascii="仿宋" w:hAnsi="仿宋" w:eastAsia="仿宋" w:cs="仿宋"/>
              <w:bCs/>
              <w:szCs w:val="32"/>
              <w:highlight w:val="none"/>
              <w:lang w:val="zh-CN"/>
            </w:rPr>
            <w:fldChar w:fldCharType="end"/>
          </w:r>
        </w:p>
        <w:p w14:paraId="042ECB2C">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_Toc24214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7.2 </w:t>
          </w:r>
          <w:r>
            <w:rPr>
              <w:rFonts w:hint="eastAsia" w:ascii="楷体" w:hAnsi="楷体" w:eastAsia="楷体" w:cs="楷体"/>
              <w:szCs w:val="32"/>
              <w:highlight w:val="none"/>
            </w:rPr>
            <w:t>工程概况</w:t>
          </w:r>
          <w:r>
            <w:tab/>
          </w:r>
          <w:r>
            <w:fldChar w:fldCharType="begin"/>
          </w:r>
          <w:r>
            <w:instrText xml:space="preserve"> PAGEREF _Toc24214 \h </w:instrText>
          </w:r>
          <w:r>
            <w:fldChar w:fldCharType="separate"/>
          </w:r>
          <w:r>
            <w:t>34</w:t>
          </w:r>
          <w:r>
            <w:fldChar w:fldCharType="end"/>
          </w:r>
          <w:r>
            <w:rPr>
              <w:rFonts w:hint="eastAsia" w:ascii="仿宋" w:hAnsi="仿宋" w:eastAsia="仿宋" w:cs="仿宋"/>
              <w:bCs/>
              <w:szCs w:val="32"/>
              <w:highlight w:val="none"/>
              <w:lang w:val="zh-CN"/>
            </w:rPr>
            <w:fldChar w:fldCharType="end"/>
          </w:r>
        </w:p>
        <w:p w14:paraId="2D8E5E35">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_Toc1253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7.3 </w:t>
          </w:r>
          <w:r>
            <w:rPr>
              <w:rFonts w:hint="eastAsia" w:ascii="楷体" w:hAnsi="楷体" w:eastAsia="楷体" w:cs="楷体"/>
              <w:szCs w:val="32"/>
              <w:highlight w:val="none"/>
            </w:rPr>
            <w:t>配水干管工程</w:t>
          </w:r>
          <w:r>
            <w:tab/>
          </w:r>
          <w:r>
            <w:fldChar w:fldCharType="begin"/>
          </w:r>
          <w:r>
            <w:instrText xml:space="preserve"> PAGEREF _Toc1253 \h </w:instrText>
          </w:r>
          <w:r>
            <w:fldChar w:fldCharType="separate"/>
          </w:r>
          <w:r>
            <w:t>35</w:t>
          </w:r>
          <w:r>
            <w:fldChar w:fldCharType="end"/>
          </w:r>
          <w:r>
            <w:rPr>
              <w:rFonts w:hint="eastAsia" w:ascii="仿宋" w:hAnsi="仿宋" w:eastAsia="仿宋" w:cs="仿宋"/>
              <w:bCs/>
              <w:szCs w:val="32"/>
              <w:highlight w:val="none"/>
              <w:lang w:val="zh-CN"/>
            </w:rPr>
            <w:fldChar w:fldCharType="end"/>
          </w:r>
        </w:p>
        <w:p w14:paraId="76CBAFBA">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_Toc14608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7.3.1 </w:t>
          </w:r>
          <w:r>
            <w:rPr>
              <w:rFonts w:hint="eastAsia" w:ascii="仿宋_GB2312" w:hAnsi="仿宋_GB2312" w:eastAsia="仿宋_GB2312" w:cs="仿宋_GB2312"/>
              <w:szCs w:val="32"/>
              <w:highlight w:val="none"/>
            </w:rPr>
            <w:t>配水干管建设方案</w:t>
          </w:r>
          <w:r>
            <w:tab/>
          </w:r>
          <w:r>
            <w:fldChar w:fldCharType="begin"/>
          </w:r>
          <w:r>
            <w:instrText xml:space="preserve"> PAGEREF _Toc14608 \h </w:instrText>
          </w:r>
          <w:r>
            <w:fldChar w:fldCharType="separate"/>
          </w:r>
          <w:r>
            <w:t>35</w:t>
          </w:r>
          <w:r>
            <w:fldChar w:fldCharType="end"/>
          </w:r>
          <w:r>
            <w:rPr>
              <w:rFonts w:hint="eastAsia" w:ascii="仿宋" w:hAnsi="仿宋" w:eastAsia="仿宋" w:cs="仿宋"/>
              <w:bCs/>
              <w:szCs w:val="32"/>
              <w:highlight w:val="none"/>
              <w:lang w:val="zh-CN"/>
            </w:rPr>
            <w:fldChar w:fldCharType="end"/>
          </w:r>
        </w:p>
        <w:p w14:paraId="43662730">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_Toc9908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7.3.2 </w:t>
          </w:r>
          <w:r>
            <w:rPr>
              <w:rFonts w:hint="eastAsia" w:ascii="仿宋_GB2312" w:hAnsi="仿宋_GB2312" w:eastAsia="仿宋_GB2312" w:cs="仿宋_GB2312"/>
              <w:szCs w:val="32"/>
              <w:highlight w:val="none"/>
            </w:rPr>
            <w:t>配水管道管材选择</w:t>
          </w:r>
          <w:r>
            <w:tab/>
          </w:r>
          <w:r>
            <w:fldChar w:fldCharType="begin"/>
          </w:r>
          <w:r>
            <w:instrText xml:space="preserve"> PAGEREF _Toc9908 \h </w:instrText>
          </w:r>
          <w:r>
            <w:fldChar w:fldCharType="separate"/>
          </w:r>
          <w:r>
            <w:t>36</w:t>
          </w:r>
          <w:r>
            <w:fldChar w:fldCharType="end"/>
          </w:r>
          <w:r>
            <w:rPr>
              <w:rFonts w:hint="eastAsia" w:ascii="仿宋" w:hAnsi="仿宋" w:eastAsia="仿宋" w:cs="仿宋"/>
              <w:bCs/>
              <w:szCs w:val="32"/>
              <w:highlight w:val="none"/>
              <w:lang w:val="zh-CN"/>
            </w:rPr>
            <w:fldChar w:fldCharType="end"/>
          </w:r>
        </w:p>
        <w:p w14:paraId="6C68CBF1">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_Toc267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7.3.3 </w:t>
          </w:r>
          <w:r>
            <w:rPr>
              <w:rFonts w:hint="eastAsia" w:ascii="仿宋_GB2312" w:hAnsi="仿宋_GB2312" w:eastAsia="仿宋_GB2312" w:cs="仿宋_GB2312"/>
              <w:szCs w:val="32"/>
              <w:highlight w:val="none"/>
            </w:rPr>
            <w:t>管道附属设施</w:t>
          </w:r>
          <w:r>
            <w:tab/>
          </w:r>
          <w:r>
            <w:fldChar w:fldCharType="begin"/>
          </w:r>
          <w:r>
            <w:instrText xml:space="preserve"> PAGEREF _Toc267 \h </w:instrText>
          </w:r>
          <w:r>
            <w:fldChar w:fldCharType="separate"/>
          </w:r>
          <w:r>
            <w:t>40</w:t>
          </w:r>
          <w:r>
            <w:fldChar w:fldCharType="end"/>
          </w:r>
          <w:r>
            <w:rPr>
              <w:rFonts w:hint="eastAsia" w:ascii="仿宋" w:hAnsi="仿宋" w:eastAsia="仿宋" w:cs="仿宋"/>
              <w:bCs/>
              <w:szCs w:val="32"/>
              <w:highlight w:val="none"/>
              <w:lang w:val="zh-CN"/>
            </w:rPr>
            <w:fldChar w:fldCharType="end"/>
          </w:r>
        </w:p>
        <w:p w14:paraId="6798ADD1">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_Toc815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7.3.4 </w:t>
          </w:r>
          <w:r>
            <w:rPr>
              <w:rFonts w:hint="eastAsia" w:ascii="仿宋_GB2312" w:hAnsi="仿宋_GB2312" w:eastAsia="仿宋_GB2312" w:cs="仿宋_GB2312"/>
              <w:szCs w:val="32"/>
              <w:highlight w:val="none"/>
            </w:rPr>
            <w:t>管道结构设计</w:t>
          </w:r>
          <w:r>
            <w:tab/>
          </w:r>
          <w:r>
            <w:fldChar w:fldCharType="begin"/>
          </w:r>
          <w:r>
            <w:instrText xml:space="preserve"> PAGEREF _Toc815 \h </w:instrText>
          </w:r>
          <w:r>
            <w:fldChar w:fldCharType="separate"/>
          </w:r>
          <w:r>
            <w:t>40</w:t>
          </w:r>
          <w:r>
            <w:fldChar w:fldCharType="end"/>
          </w:r>
          <w:r>
            <w:rPr>
              <w:rFonts w:hint="eastAsia" w:ascii="仿宋" w:hAnsi="仿宋" w:eastAsia="仿宋" w:cs="仿宋"/>
              <w:bCs/>
              <w:szCs w:val="32"/>
              <w:highlight w:val="none"/>
              <w:lang w:val="zh-CN"/>
            </w:rPr>
            <w:fldChar w:fldCharType="end"/>
          </w:r>
        </w:p>
        <w:p w14:paraId="04E48E0A">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_Toc6261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7.3.5 </w:t>
          </w:r>
          <w:r>
            <w:rPr>
              <w:rFonts w:hint="eastAsia" w:ascii="仿宋_GB2312" w:hAnsi="仿宋_GB2312" w:eastAsia="仿宋_GB2312" w:cs="仿宋_GB2312"/>
              <w:szCs w:val="32"/>
              <w:highlight w:val="none"/>
            </w:rPr>
            <w:t>路面修复设计</w:t>
          </w:r>
          <w:r>
            <w:tab/>
          </w:r>
          <w:r>
            <w:fldChar w:fldCharType="begin"/>
          </w:r>
          <w:r>
            <w:instrText xml:space="preserve"> PAGEREF _Toc6261 \h </w:instrText>
          </w:r>
          <w:r>
            <w:fldChar w:fldCharType="separate"/>
          </w:r>
          <w:r>
            <w:t>43</w:t>
          </w:r>
          <w:r>
            <w:fldChar w:fldCharType="end"/>
          </w:r>
          <w:r>
            <w:rPr>
              <w:rFonts w:hint="eastAsia" w:ascii="仿宋" w:hAnsi="仿宋" w:eastAsia="仿宋" w:cs="仿宋"/>
              <w:bCs/>
              <w:szCs w:val="32"/>
              <w:highlight w:val="none"/>
              <w:lang w:val="zh-CN"/>
            </w:rPr>
            <w:fldChar w:fldCharType="end"/>
          </w:r>
        </w:p>
        <w:p w14:paraId="7C66F4F2">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_Toc22527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7.4 </w:t>
          </w:r>
          <w:r>
            <w:rPr>
              <w:rFonts w:hint="eastAsia" w:ascii="楷体" w:hAnsi="楷体" w:eastAsia="楷体" w:cs="楷体"/>
              <w:szCs w:val="32"/>
              <w:highlight w:val="none"/>
            </w:rPr>
            <w:t>村居管网工程</w:t>
          </w:r>
          <w:r>
            <w:tab/>
          </w:r>
          <w:r>
            <w:fldChar w:fldCharType="begin"/>
          </w:r>
          <w:r>
            <w:instrText xml:space="preserve"> PAGEREF _Toc22527 \h </w:instrText>
          </w:r>
          <w:r>
            <w:fldChar w:fldCharType="separate"/>
          </w:r>
          <w:r>
            <w:t>47</w:t>
          </w:r>
          <w:r>
            <w:fldChar w:fldCharType="end"/>
          </w:r>
          <w:r>
            <w:rPr>
              <w:rFonts w:hint="eastAsia" w:ascii="仿宋" w:hAnsi="仿宋" w:eastAsia="仿宋" w:cs="仿宋"/>
              <w:bCs/>
              <w:szCs w:val="32"/>
              <w:highlight w:val="none"/>
              <w:lang w:val="zh-CN"/>
            </w:rPr>
            <w:fldChar w:fldCharType="end"/>
          </w:r>
        </w:p>
        <w:p w14:paraId="3B4283EC">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_Toc25601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7.4.1 </w:t>
          </w:r>
          <w:r>
            <w:rPr>
              <w:rFonts w:hint="eastAsia" w:ascii="仿宋_GB2312" w:hAnsi="仿宋_GB2312" w:eastAsia="仿宋_GB2312" w:cs="仿宋_GB2312"/>
              <w:szCs w:val="32"/>
              <w:highlight w:val="none"/>
            </w:rPr>
            <w:t>村居管网工程建设方案</w:t>
          </w:r>
          <w:r>
            <w:tab/>
          </w:r>
          <w:r>
            <w:fldChar w:fldCharType="begin"/>
          </w:r>
          <w:r>
            <w:instrText xml:space="preserve"> PAGEREF _Toc25601 \h </w:instrText>
          </w:r>
          <w:r>
            <w:fldChar w:fldCharType="separate"/>
          </w:r>
          <w:r>
            <w:t>47</w:t>
          </w:r>
          <w:r>
            <w:fldChar w:fldCharType="end"/>
          </w:r>
          <w:r>
            <w:rPr>
              <w:rFonts w:hint="eastAsia" w:ascii="仿宋" w:hAnsi="仿宋" w:eastAsia="仿宋" w:cs="仿宋"/>
              <w:bCs/>
              <w:szCs w:val="32"/>
              <w:highlight w:val="none"/>
              <w:lang w:val="zh-CN"/>
            </w:rPr>
            <w:fldChar w:fldCharType="end"/>
          </w:r>
        </w:p>
        <w:p w14:paraId="013EA651">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_Toc17930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7.4.2 </w:t>
          </w:r>
          <w:r>
            <w:rPr>
              <w:rFonts w:hint="eastAsia" w:ascii="仿宋_GB2312" w:hAnsi="仿宋_GB2312" w:eastAsia="仿宋_GB2312" w:cs="仿宋_GB2312"/>
              <w:szCs w:val="32"/>
              <w:highlight w:val="none"/>
            </w:rPr>
            <w:t>村居管网工程管材选择</w:t>
          </w:r>
          <w:r>
            <w:tab/>
          </w:r>
          <w:r>
            <w:fldChar w:fldCharType="begin"/>
          </w:r>
          <w:r>
            <w:instrText xml:space="preserve"> PAGEREF _Toc17930 \h </w:instrText>
          </w:r>
          <w:r>
            <w:fldChar w:fldCharType="separate"/>
          </w:r>
          <w:r>
            <w:t>48</w:t>
          </w:r>
          <w:r>
            <w:fldChar w:fldCharType="end"/>
          </w:r>
          <w:r>
            <w:rPr>
              <w:rFonts w:hint="eastAsia" w:ascii="仿宋" w:hAnsi="仿宋" w:eastAsia="仿宋" w:cs="仿宋"/>
              <w:bCs/>
              <w:szCs w:val="32"/>
              <w:highlight w:val="none"/>
              <w:lang w:val="zh-CN"/>
            </w:rPr>
            <w:fldChar w:fldCharType="end"/>
          </w:r>
        </w:p>
        <w:p w14:paraId="13DC81A2">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_Toc7158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7.5 </w:t>
          </w:r>
          <w:r>
            <w:rPr>
              <w:rFonts w:hint="eastAsia" w:ascii="楷体" w:hAnsi="楷体" w:eastAsia="楷体" w:cs="楷体"/>
              <w:szCs w:val="32"/>
              <w:highlight w:val="none"/>
            </w:rPr>
            <w:t>工程建设内容</w:t>
          </w:r>
          <w:r>
            <w:tab/>
          </w:r>
          <w:r>
            <w:fldChar w:fldCharType="begin"/>
          </w:r>
          <w:r>
            <w:instrText xml:space="preserve"> PAGEREF _Toc7158 \h </w:instrText>
          </w:r>
          <w:r>
            <w:fldChar w:fldCharType="separate"/>
          </w:r>
          <w:r>
            <w:t>49</w:t>
          </w:r>
          <w:r>
            <w:fldChar w:fldCharType="end"/>
          </w:r>
          <w:r>
            <w:rPr>
              <w:rFonts w:hint="eastAsia" w:ascii="仿宋" w:hAnsi="仿宋" w:eastAsia="仿宋" w:cs="仿宋"/>
              <w:bCs/>
              <w:szCs w:val="32"/>
              <w:highlight w:val="none"/>
              <w:lang w:val="zh-CN"/>
            </w:rPr>
            <w:fldChar w:fldCharType="end"/>
          </w:r>
        </w:p>
        <w:p w14:paraId="7F6CD81D">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_Toc15245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7.6 </w:t>
          </w:r>
          <w:r>
            <w:rPr>
              <w:rFonts w:hint="eastAsia" w:ascii="楷体" w:hAnsi="楷体" w:eastAsia="楷体" w:cs="楷体"/>
              <w:szCs w:val="32"/>
              <w:highlight w:val="none"/>
            </w:rPr>
            <w:t>工程投资概算及概算表</w:t>
          </w:r>
          <w:r>
            <w:tab/>
          </w:r>
          <w:r>
            <w:fldChar w:fldCharType="begin"/>
          </w:r>
          <w:r>
            <w:instrText xml:space="preserve"> PAGEREF _Toc15245 \h </w:instrText>
          </w:r>
          <w:r>
            <w:fldChar w:fldCharType="separate"/>
          </w:r>
          <w:r>
            <w:t>49</w:t>
          </w:r>
          <w:r>
            <w:fldChar w:fldCharType="end"/>
          </w:r>
          <w:r>
            <w:rPr>
              <w:rFonts w:hint="eastAsia" w:ascii="仿宋" w:hAnsi="仿宋" w:eastAsia="仿宋" w:cs="仿宋"/>
              <w:bCs/>
              <w:szCs w:val="32"/>
              <w:highlight w:val="none"/>
              <w:lang w:val="zh-CN"/>
            </w:rPr>
            <w:fldChar w:fldCharType="end"/>
          </w:r>
        </w:p>
        <w:p w14:paraId="5C9355BD">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_Toc30820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7.6.1 </w:t>
          </w:r>
          <w:r>
            <w:rPr>
              <w:rFonts w:hint="eastAsia" w:ascii="仿宋_GB2312" w:hAnsi="仿宋_GB2312" w:eastAsia="仿宋_GB2312" w:cs="仿宋_GB2312"/>
              <w:szCs w:val="32"/>
              <w:highlight w:val="none"/>
            </w:rPr>
            <w:t>编制依据</w:t>
          </w:r>
          <w:r>
            <w:tab/>
          </w:r>
          <w:r>
            <w:fldChar w:fldCharType="begin"/>
          </w:r>
          <w:r>
            <w:instrText xml:space="preserve"> PAGEREF _Toc30820 \h </w:instrText>
          </w:r>
          <w:r>
            <w:fldChar w:fldCharType="separate"/>
          </w:r>
          <w:r>
            <w:t>49</w:t>
          </w:r>
          <w:r>
            <w:fldChar w:fldCharType="end"/>
          </w:r>
          <w:r>
            <w:rPr>
              <w:rFonts w:hint="eastAsia" w:ascii="仿宋" w:hAnsi="仿宋" w:eastAsia="仿宋" w:cs="仿宋"/>
              <w:bCs/>
              <w:szCs w:val="32"/>
              <w:highlight w:val="none"/>
              <w:lang w:val="zh-CN"/>
            </w:rPr>
            <w:fldChar w:fldCharType="end"/>
          </w:r>
        </w:p>
        <w:p w14:paraId="5B0BC82F">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_Toc12285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7.6.2 </w:t>
          </w:r>
          <w:r>
            <w:rPr>
              <w:rFonts w:hint="eastAsia" w:ascii="仿宋_GB2312" w:hAnsi="仿宋_GB2312" w:eastAsia="仿宋_GB2312" w:cs="仿宋_GB2312"/>
              <w:szCs w:val="32"/>
              <w:highlight w:val="none"/>
            </w:rPr>
            <w:t>其他费用</w:t>
          </w:r>
          <w:r>
            <w:tab/>
          </w:r>
          <w:r>
            <w:fldChar w:fldCharType="begin"/>
          </w:r>
          <w:r>
            <w:instrText xml:space="preserve"> PAGEREF _Toc12285 \h </w:instrText>
          </w:r>
          <w:r>
            <w:fldChar w:fldCharType="separate"/>
          </w:r>
          <w:r>
            <w:t>50</w:t>
          </w:r>
          <w:r>
            <w:fldChar w:fldCharType="end"/>
          </w:r>
          <w:r>
            <w:rPr>
              <w:rFonts w:hint="eastAsia" w:ascii="仿宋" w:hAnsi="仿宋" w:eastAsia="仿宋" w:cs="仿宋"/>
              <w:bCs/>
              <w:szCs w:val="32"/>
              <w:highlight w:val="none"/>
              <w:lang w:val="zh-CN"/>
            </w:rPr>
            <w:fldChar w:fldCharType="end"/>
          </w:r>
        </w:p>
        <w:p w14:paraId="48F49EE9">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_Toc15370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7.6.3 </w:t>
          </w:r>
          <w:r>
            <w:rPr>
              <w:rFonts w:hint="eastAsia" w:ascii="仿宋_GB2312" w:hAnsi="仿宋_GB2312" w:eastAsia="仿宋_GB2312" w:cs="仿宋_GB2312"/>
              <w:szCs w:val="32"/>
              <w:highlight w:val="none"/>
            </w:rPr>
            <w:t>基本预备费</w:t>
          </w:r>
          <w:r>
            <w:tab/>
          </w:r>
          <w:r>
            <w:fldChar w:fldCharType="begin"/>
          </w:r>
          <w:r>
            <w:instrText xml:space="preserve"> PAGEREF _Toc15370 \h </w:instrText>
          </w:r>
          <w:r>
            <w:fldChar w:fldCharType="separate"/>
          </w:r>
          <w:r>
            <w:t>51</w:t>
          </w:r>
          <w:r>
            <w:fldChar w:fldCharType="end"/>
          </w:r>
          <w:r>
            <w:rPr>
              <w:rFonts w:hint="eastAsia" w:ascii="仿宋" w:hAnsi="仿宋" w:eastAsia="仿宋" w:cs="仿宋"/>
              <w:bCs/>
              <w:szCs w:val="32"/>
              <w:highlight w:val="none"/>
              <w:lang w:val="zh-CN"/>
            </w:rPr>
            <w:fldChar w:fldCharType="end"/>
          </w:r>
        </w:p>
        <w:p w14:paraId="4A53791D">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_Toc18380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7.6.4 </w:t>
          </w:r>
          <w:r>
            <w:rPr>
              <w:rFonts w:hint="eastAsia" w:ascii="仿宋_GB2312" w:hAnsi="仿宋_GB2312" w:eastAsia="仿宋_GB2312" w:cs="仿宋_GB2312"/>
              <w:szCs w:val="32"/>
              <w:highlight w:val="none"/>
            </w:rPr>
            <w:t>设计概算</w:t>
          </w:r>
          <w:r>
            <w:tab/>
          </w:r>
          <w:r>
            <w:fldChar w:fldCharType="begin"/>
          </w:r>
          <w:r>
            <w:instrText xml:space="preserve"> PAGEREF _Toc18380 \h </w:instrText>
          </w:r>
          <w:r>
            <w:fldChar w:fldCharType="separate"/>
          </w:r>
          <w:r>
            <w:t>51</w:t>
          </w:r>
          <w:r>
            <w:fldChar w:fldCharType="end"/>
          </w:r>
          <w:r>
            <w:rPr>
              <w:rFonts w:hint="eastAsia" w:ascii="仿宋" w:hAnsi="仿宋" w:eastAsia="仿宋" w:cs="仿宋"/>
              <w:bCs/>
              <w:szCs w:val="32"/>
              <w:highlight w:val="none"/>
              <w:lang w:val="zh-CN"/>
            </w:rPr>
            <w:fldChar w:fldCharType="end"/>
          </w:r>
        </w:p>
        <w:p w14:paraId="50EF2A78">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_Toc31607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7.6.5 </w:t>
          </w:r>
          <w:r>
            <w:rPr>
              <w:rFonts w:hint="eastAsia" w:ascii="仿宋_GB2312" w:hAnsi="仿宋_GB2312" w:eastAsia="仿宋_GB2312" w:cs="仿宋_GB2312"/>
              <w:szCs w:val="32"/>
              <w:highlight w:val="none"/>
            </w:rPr>
            <w:t>资金筹措</w:t>
          </w:r>
          <w:r>
            <w:tab/>
          </w:r>
          <w:r>
            <w:fldChar w:fldCharType="begin"/>
          </w:r>
          <w:r>
            <w:instrText xml:space="preserve"> PAGEREF _Toc31607 \h </w:instrText>
          </w:r>
          <w:r>
            <w:fldChar w:fldCharType="separate"/>
          </w:r>
          <w:r>
            <w:t>51</w:t>
          </w:r>
          <w:r>
            <w:fldChar w:fldCharType="end"/>
          </w:r>
          <w:r>
            <w:rPr>
              <w:rFonts w:hint="eastAsia" w:ascii="仿宋" w:hAnsi="仿宋" w:eastAsia="仿宋" w:cs="仿宋"/>
              <w:bCs/>
              <w:szCs w:val="32"/>
              <w:highlight w:val="none"/>
              <w:lang w:val="zh-CN"/>
            </w:rPr>
            <w:fldChar w:fldCharType="end"/>
          </w:r>
        </w:p>
        <w:p w14:paraId="50711B6B">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_Toc26510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7.6.6 </w:t>
          </w:r>
          <w:r>
            <w:rPr>
              <w:rFonts w:hint="eastAsia" w:ascii="仿宋_GB2312" w:hAnsi="仿宋_GB2312" w:eastAsia="仿宋_GB2312" w:cs="仿宋_GB2312"/>
              <w:szCs w:val="32"/>
              <w:highlight w:val="none"/>
            </w:rPr>
            <w:t>工程概算表</w:t>
          </w:r>
          <w:r>
            <w:tab/>
          </w:r>
          <w:r>
            <w:fldChar w:fldCharType="begin"/>
          </w:r>
          <w:r>
            <w:instrText xml:space="preserve"> PAGEREF _Toc26510 \h </w:instrText>
          </w:r>
          <w:r>
            <w:fldChar w:fldCharType="separate"/>
          </w:r>
          <w:r>
            <w:t>51</w:t>
          </w:r>
          <w:r>
            <w:fldChar w:fldCharType="end"/>
          </w:r>
          <w:r>
            <w:rPr>
              <w:rFonts w:hint="eastAsia" w:ascii="仿宋" w:hAnsi="仿宋" w:eastAsia="仿宋" w:cs="仿宋"/>
              <w:bCs/>
              <w:szCs w:val="32"/>
              <w:highlight w:val="none"/>
              <w:lang w:val="zh-CN"/>
            </w:rPr>
            <w:fldChar w:fldCharType="end"/>
          </w:r>
        </w:p>
        <w:p w14:paraId="2A359C95">
          <w:pPr>
            <w:pStyle w:val="21"/>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_Toc14611 </w:instrText>
          </w:r>
          <w:r>
            <w:rPr>
              <w:rFonts w:hint="eastAsia" w:ascii="仿宋" w:hAnsi="仿宋" w:eastAsia="仿宋" w:cs="仿宋"/>
              <w:bCs/>
              <w:szCs w:val="32"/>
              <w:highlight w:val="none"/>
              <w:lang w:val="zh-CN"/>
            </w:rPr>
            <w:fldChar w:fldCharType="separate"/>
          </w:r>
          <w:r>
            <w:rPr>
              <w:rFonts w:hint="eastAsia" w:ascii="黑体" w:hAnsi="黑体" w:eastAsia="黑体" w:cs="黑体"/>
              <w:bCs/>
              <w:szCs w:val="32"/>
            </w:rPr>
            <w:t xml:space="preserve">第8章 </w:t>
          </w:r>
          <w:r>
            <w:rPr>
              <w:rFonts w:hint="eastAsia" w:ascii="黑体" w:hAnsi="黑体" w:eastAsia="黑体" w:cs="黑体"/>
              <w:bCs/>
              <w:szCs w:val="32"/>
              <w:highlight w:val="none"/>
            </w:rPr>
            <w:t>投资匡算与分期实施计划</w:t>
          </w:r>
          <w:r>
            <w:tab/>
          </w:r>
          <w:r>
            <w:fldChar w:fldCharType="begin"/>
          </w:r>
          <w:r>
            <w:instrText xml:space="preserve"> PAGEREF _Toc14611 \h </w:instrText>
          </w:r>
          <w:r>
            <w:fldChar w:fldCharType="separate"/>
          </w:r>
          <w:r>
            <w:t>55</w:t>
          </w:r>
          <w:r>
            <w:fldChar w:fldCharType="end"/>
          </w:r>
          <w:r>
            <w:rPr>
              <w:rFonts w:hint="eastAsia" w:ascii="仿宋" w:hAnsi="仿宋" w:eastAsia="仿宋" w:cs="仿宋"/>
              <w:bCs/>
              <w:szCs w:val="32"/>
              <w:highlight w:val="none"/>
              <w:lang w:val="zh-CN"/>
            </w:rPr>
            <w:fldChar w:fldCharType="end"/>
          </w:r>
        </w:p>
        <w:p w14:paraId="2AEDD751">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_Toc1481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8.1 </w:t>
          </w:r>
          <w:r>
            <w:rPr>
              <w:rFonts w:hint="eastAsia" w:ascii="楷体" w:hAnsi="楷体" w:eastAsia="楷体" w:cs="楷体"/>
              <w:szCs w:val="32"/>
              <w:highlight w:val="none"/>
            </w:rPr>
            <w:t>投资匡算</w:t>
          </w:r>
          <w:r>
            <w:tab/>
          </w:r>
          <w:r>
            <w:fldChar w:fldCharType="begin"/>
          </w:r>
          <w:r>
            <w:instrText xml:space="preserve"> PAGEREF _Toc1481 \h </w:instrText>
          </w:r>
          <w:r>
            <w:fldChar w:fldCharType="separate"/>
          </w:r>
          <w:r>
            <w:t>55</w:t>
          </w:r>
          <w:r>
            <w:fldChar w:fldCharType="end"/>
          </w:r>
          <w:r>
            <w:rPr>
              <w:rFonts w:hint="eastAsia" w:ascii="仿宋" w:hAnsi="仿宋" w:eastAsia="仿宋" w:cs="仿宋"/>
              <w:bCs/>
              <w:szCs w:val="32"/>
              <w:highlight w:val="none"/>
              <w:lang w:val="zh-CN"/>
            </w:rPr>
            <w:fldChar w:fldCharType="end"/>
          </w:r>
        </w:p>
        <w:p w14:paraId="5DB57429">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_Toc31334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8.2 </w:t>
          </w:r>
          <w:r>
            <w:rPr>
              <w:rFonts w:hint="eastAsia" w:ascii="楷体" w:hAnsi="楷体" w:eastAsia="楷体" w:cs="楷体"/>
              <w:szCs w:val="32"/>
              <w:highlight w:val="none"/>
            </w:rPr>
            <w:t>分期实施计划</w:t>
          </w:r>
          <w:r>
            <w:tab/>
          </w:r>
          <w:r>
            <w:fldChar w:fldCharType="begin"/>
          </w:r>
          <w:r>
            <w:instrText xml:space="preserve"> PAGEREF _Toc31334 \h </w:instrText>
          </w:r>
          <w:r>
            <w:fldChar w:fldCharType="separate"/>
          </w:r>
          <w:r>
            <w:t>55</w:t>
          </w:r>
          <w:r>
            <w:fldChar w:fldCharType="end"/>
          </w:r>
          <w:r>
            <w:rPr>
              <w:rFonts w:hint="eastAsia" w:ascii="仿宋" w:hAnsi="仿宋" w:eastAsia="仿宋" w:cs="仿宋"/>
              <w:bCs/>
              <w:szCs w:val="32"/>
              <w:highlight w:val="none"/>
              <w:lang w:val="zh-CN"/>
            </w:rPr>
            <w:fldChar w:fldCharType="end"/>
          </w:r>
        </w:p>
        <w:p w14:paraId="45742A26">
          <w:pPr>
            <w:pStyle w:val="21"/>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_Toc30589 </w:instrText>
          </w:r>
          <w:r>
            <w:rPr>
              <w:rFonts w:hint="eastAsia" w:ascii="仿宋" w:hAnsi="仿宋" w:eastAsia="仿宋" w:cs="仿宋"/>
              <w:bCs/>
              <w:szCs w:val="32"/>
              <w:highlight w:val="none"/>
              <w:lang w:val="zh-CN"/>
            </w:rPr>
            <w:fldChar w:fldCharType="separate"/>
          </w:r>
          <w:r>
            <w:rPr>
              <w:rFonts w:hint="eastAsia" w:ascii="黑体" w:hAnsi="黑体" w:eastAsia="黑体" w:cs="黑体"/>
              <w:bCs/>
              <w:szCs w:val="32"/>
            </w:rPr>
            <w:t xml:space="preserve">第9章 </w:t>
          </w:r>
          <w:r>
            <w:rPr>
              <w:rFonts w:hint="eastAsia" w:ascii="黑体" w:hAnsi="黑体" w:eastAsia="黑体" w:cs="黑体"/>
              <w:bCs/>
              <w:szCs w:val="32"/>
              <w:highlight w:val="none"/>
            </w:rPr>
            <w:t>效益分析</w:t>
          </w:r>
          <w:r>
            <w:tab/>
          </w:r>
          <w:r>
            <w:fldChar w:fldCharType="begin"/>
          </w:r>
          <w:r>
            <w:instrText xml:space="preserve"> PAGEREF _Toc30589 \h </w:instrText>
          </w:r>
          <w:r>
            <w:fldChar w:fldCharType="separate"/>
          </w:r>
          <w:r>
            <w:t>63</w:t>
          </w:r>
          <w:r>
            <w:fldChar w:fldCharType="end"/>
          </w:r>
          <w:r>
            <w:rPr>
              <w:rFonts w:hint="eastAsia" w:ascii="仿宋" w:hAnsi="仿宋" w:eastAsia="仿宋" w:cs="仿宋"/>
              <w:bCs/>
              <w:szCs w:val="32"/>
              <w:highlight w:val="none"/>
              <w:lang w:val="zh-CN"/>
            </w:rPr>
            <w:fldChar w:fldCharType="end"/>
          </w:r>
        </w:p>
        <w:p w14:paraId="2675EAB6">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_Toc28130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9.1 </w:t>
          </w:r>
          <w:r>
            <w:rPr>
              <w:rFonts w:hint="eastAsia" w:ascii="楷体" w:hAnsi="楷体" w:eastAsia="楷体" w:cs="楷体"/>
              <w:szCs w:val="32"/>
              <w:highlight w:val="none"/>
            </w:rPr>
            <w:t>社会效益</w:t>
          </w:r>
          <w:r>
            <w:tab/>
          </w:r>
          <w:r>
            <w:fldChar w:fldCharType="begin"/>
          </w:r>
          <w:r>
            <w:instrText xml:space="preserve"> PAGEREF _Toc28130 \h </w:instrText>
          </w:r>
          <w:r>
            <w:fldChar w:fldCharType="separate"/>
          </w:r>
          <w:r>
            <w:t>63</w:t>
          </w:r>
          <w:r>
            <w:fldChar w:fldCharType="end"/>
          </w:r>
          <w:r>
            <w:rPr>
              <w:rFonts w:hint="eastAsia" w:ascii="仿宋" w:hAnsi="仿宋" w:eastAsia="仿宋" w:cs="仿宋"/>
              <w:bCs/>
              <w:szCs w:val="32"/>
              <w:highlight w:val="none"/>
              <w:lang w:val="zh-CN"/>
            </w:rPr>
            <w:fldChar w:fldCharType="end"/>
          </w:r>
        </w:p>
        <w:p w14:paraId="29C19A62">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_Toc1638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9.2 </w:t>
          </w:r>
          <w:r>
            <w:rPr>
              <w:rFonts w:hint="eastAsia" w:ascii="楷体" w:hAnsi="楷体" w:eastAsia="楷体" w:cs="楷体"/>
              <w:szCs w:val="32"/>
              <w:highlight w:val="none"/>
            </w:rPr>
            <w:t>经济效益</w:t>
          </w:r>
          <w:r>
            <w:tab/>
          </w:r>
          <w:r>
            <w:fldChar w:fldCharType="begin"/>
          </w:r>
          <w:r>
            <w:instrText xml:space="preserve"> PAGEREF _Toc1638 \h </w:instrText>
          </w:r>
          <w:r>
            <w:fldChar w:fldCharType="separate"/>
          </w:r>
          <w:r>
            <w:t>64</w:t>
          </w:r>
          <w:r>
            <w:fldChar w:fldCharType="end"/>
          </w:r>
          <w:r>
            <w:rPr>
              <w:rFonts w:hint="eastAsia" w:ascii="仿宋" w:hAnsi="仿宋" w:eastAsia="仿宋" w:cs="仿宋"/>
              <w:bCs/>
              <w:szCs w:val="32"/>
              <w:highlight w:val="none"/>
              <w:lang w:val="zh-CN"/>
            </w:rPr>
            <w:fldChar w:fldCharType="end"/>
          </w:r>
        </w:p>
        <w:p w14:paraId="7F903731">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_Toc15281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9.3 </w:t>
          </w:r>
          <w:r>
            <w:rPr>
              <w:rFonts w:hint="eastAsia" w:ascii="楷体" w:hAnsi="楷体" w:eastAsia="楷体" w:cs="楷体"/>
              <w:szCs w:val="32"/>
              <w:highlight w:val="none"/>
            </w:rPr>
            <w:t>项目实施前后主要技术指标</w:t>
          </w:r>
          <w:r>
            <w:tab/>
          </w:r>
          <w:r>
            <w:fldChar w:fldCharType="begin"/>
          </w:r>
          <w:r>
            <w:instrText xml:space="preserve"> PAGEREF _Toc15281 \h </w:instrText>
          </w:r>
          <w:r>
            <w:fldChar w:fldCharType="separate"/>
          </w:r>
          <w:r>
            <w:t>65</w:t>
          </w:r>
          <w:r>
            <w:fldChar w:fldCharType="end"/>
          </w:r>
          <w:r>
            <w:rPr>
              <w:rFonts w:hint="eastAsia" w:ascii="仿宋" w:hAnsi="仿宋" w:eastAsia="仿宋" w:cs="仿宋"/>
              <w:bCs/>
              <w:szCs w:val="32"/>
              <w:highlight w:val="none"/>
              <w:lang w:val="zh-CN"/>
            </w:rPr>
            <w:fldChar w:fldCharType="end"/>
          </w:r>
        </w:p>
        <w:p w14:paraId="5BADF19A">
          <w:pPr>
            <w:pStyle w:val="21"/>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_Toc2433 </w:instrText>
          </w:r>
          <w:r>
            <w:rPr>
              <w:rFonts w:hint="eastAsia" w:ascii="仿宋" w:hAnsi="仿宋" w:eastAsia="仿宋" w:cs="仿宋"/>
              <w:bCs/>
              <w:szCs w:val="32"/>
              <w:highlight w:val="none"/>
              <w:lang w:val="zh-CN"/>
            </w:rPr>
            <w:fldChar w:fldCharType="separate"/>
          </w:r>
          <w:r>
            <w:rPr>
              <w:rFonts w:hint="eastAsia" w:ascii="黑体" w:hAnsi="黑体" w:eastAsia="黑体" w:cs="黑体"/>
              <w:bCs/>
              <w:szCs w:val="32"/>
            </w:rPr>
            <w:t xml:space="preserve">第10章 </w:t>
          </w:r>
          <w:r>
            <w:rPr>
              <w:rFonts w:hint="eastAsia" w:ascii="黑体" w:hAnsi="黑体" w:eastAsia="黑体" w:cs="黑体"/>
              <w:bCs/>
              <w:szCs w:val="32"/>
              <w:highlight w:val="none"/>
            </w:rPr>
            <w:t>保障措施</w:t>
          </w:r>
          <w:r>
            <w:tab/>
          </w:r>
          <w:r>
            <w:fldChar w:fldCharType="begin"/>
          </w:r>
          <w:r>
            <w:instrText xml:space="preserve"> PAGEREF _Toc2433 \h </w:instrText>
          </w:r>
          <w:r>
            <w:fldChar w:fldCharType="separate"/>
          </w:r>
          <w:r>
            <w:t>66</w:t>
          </w:r>
          <w:r>
            <w:fldChar w:fldCharType="end"/>
          </w:r>
          <w:r>
            <w:rPr>
              <w:rFonts w:hint="eastAsia" w:ascii="仿宋" w:hAnsi="仿宋" w:eastAsia="仿宋" w:cs="仿宋"/>
              <w:bCs/>
              <w:szCs w:val="32"/>
              <w:highlight w:val="none"/>
              <w:lang w:val="zh-CN"/>
            </w:rPr>
            <w:fldChar w:fldCharType="end"/>
          </w:r>
        </w:p>
        <w:p w14:paraId="62986CB3">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_Toc22636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10.1 </w:t>
          </w:r>
          <w:r>
            <w:rPr>
              <w:rFonts w:hint="eastAsia" w:ascii="楷体" w:hAnsi="楷体" w:eastAsia="楷体" w:cs="楷体"/>
              <w:szCs w:val="32"/>
              <w:highlight w:val="none"/>
            </w:rPr>
            <w:t>组织措施</w:t>
          </w:r>
          <w:r>
            <w:tab/>
          </w:r>
          <w:r>
            <w:fldChar w:fldCharType="begin"/>
          </w:r>
          <w:r>
            <w:instrText xml:space="preserve"> PAGEREF _Toc22636 \h </w:instrText>
          </w:r>
          <w:r>
            <w:fldChar w:fldCharType="separate"/>
          </w:r>
          <w:r>
            <w:t>66</w:t>
          </w:r>
          <w:r>
            <w:fldChar w:fldCharType="end"/>
          </w:r>
          <w:r>
            <w:rPr>
              <w:rFonts w:hint="eastAsia" w:ascii="仿宋" w:hAnsi="仿宋" w:eastAsia="仿宋" w:cs="仿宋"/>
              <w:bCs/>
              <w:szCs w:val="32"/>
              <w:highlight w:val="none"/>
              <w:lang w:val="zh-CN"/>
            </w:rPr>
            <w:fldChar w:fldCharType="end"/>
          </w:r>
        </w:p>
        <w:p w14:paraId="17E9E1DA">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_Toc32330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10.1.1 </w:t>
          </w:r>
          <w:r>
            <w:rPr>
              <w:rFonts w:hint="eastAsia" w:ascii="仿宋_GB2312" w:hAnsi="仿宋_GB2312" w:eastAsia="仿宋_GB2312" w:cs="仿宋_GB2312"/>
              <w:szCs w:val="32"/>
              <w:highlight w:val="none"/>
            </w:rPr>
            <w:t>明确主要责任人</w:t>
          </w:r>
          <w:r>
            <w:tab/>
          </w:r>
          <w:r>
            <w:fldChar w:fldCharType="begin"/>
          </w:r>
          <w:r>
            <w:instrText xml:space="preserve"> PAGEREF _Toc32330 \h </w:instrText>
          </w:r>
          <w:r>
            <w:fldChar w:fldCharType="separate"/>
          </w:r>
          <w:r>
            <w:t>66</w:t>
          </w:r>
          <w:r>
            <w:fldChar w:fldCharType="end"/>
          </w:r>
          <w:r>
            <w:rPr>
              <w:rFonts w:hint="eastAsia" w:ascii="仿宋" w:hAnsi="仿宋" w:eastAsia="仿宋" w:cs="仿宋"/>
              <w:bCs/>
              <w:szCs w:val="32"/>
              <w:highlight w:val="none"/>
              <w:lang w:val="zh-CN"/>
            </w:rPr>
            <w:fldChar w:fldCharType="end"/>
          </w:r>
        </w:p>
        <w:p w14:paraId="40B70778">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_Toc25028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10.1.2 </w:t>
          </w:r>
          <w:r>
            <w:rPr>
              <w:rFonts w:hint="eastAsia" w:ascii="仿宋_GB2312" w:hAnsi="仿宋_GB2312" w:eastAsia="仿宋_GB2312" w:cs="仿宋_GB2312"/>
              <w:szCs w:val="32"/>
              <w:highlight w:val="none"/>
            </w:rPr>
            <w:t>成立</w:t>
          </w:r>
          <w:r>
            <w:rPr>
              <w:rFonts w:hint="eastAsia" w:ascii="仿宋_GB2312" w:hAnsi="仿宋_GB2312" w:eastAsia="仿宋_GB2312" w:cs="仿宋_GB2312"/>
              <w:szCs w:val="32"/>
              <w:highlight w:val="none"/>
              <w:lang w:val="en-US" w:eastAsia="zh-CN"/>
            </w:rPr>
            <w:t>工作专班</w:t>
          </w:r>
          <w:r>
            <w:tab/>
          </w:r>
          <w:r>
            <w:fldChar w:fldCharType="begin"/>
          </w:r>
          <w:r>
            <w:instrText xml:space="preserve"> PAGEREF _Toc25028 \h </w:instrText>
          </w:r>
          <w:r>
            <w:fldChar w:fldCharType="separate"/>
          </w:r>
          <w:r>
            <w:t>66</w:t>
          </w:r>
          <w:r>
            <w:fldChar w:fldCharType="end"/>
          </w:r>
          <w:r>
            <w:rPr>
              <w:rFonts w:hint="eastAsia" w:ascii="仿宋" w:hAnsi="仿宋" w:eastAsia="仿宋" w:cs="仿宋"/>
              <w:bCs/>
              <w:szCs w:val="32"/>
              <w:highlight w:val="none"/>
              <w:lang w:val="zh-CN"/>
            </w:rPr>
            <w:fldChar w:fldCharType="end"/>
          </w:r>
        </w:p>
        <w:p w14:paraId="703E7CF7">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_Toc20809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10.1.3 </w:t>
          </w:r>
          <w:r>
            <w:rPr>
              <w:rFonts w:hint="eastAsia" w:ascii="仿宋_GB2312" w:hAnsi="仿宋_GB2312" w:eastAsia="仿宋_GB2312" w:cs="仿宋_GB2312"/>
              <w:szCs w:val="32"/>
              <w:highlight w:val="none"/>
            </w:rPr>
            <w:t>部门职责分工</w:t>
          </w:r>
          <w:r>
            <w:tab/>
          </w:r>
          <w:r>
            <w:fldChar w:fldCharType="begin"/>
          </w:r>
          <w:r>
            <w:instrText xml:space="preserve"> PAGEREF _Toc20809 \h </w:instrText>
          </w:r>
          <w:r>
            <w:fldChar w:fldCharType="separate"/>
          </w:r>
          <w:r>
            <w:t>66</w:t>
          </w:r>
          <w:r>
            <w:fldChar w:fldCharType="end"/>
          </w:r>
          <w:r>
            <w:rPr>
              <w:rFonts w:hint="eastAsia" w:ascii="仿宋" w:hAnsi="仿宋" w:eastAsia="仿宋" w:cs="仿宋"/>
              <w:bCs/>
              <w:szCs w:val="32"/>
              <w:highlight w:val="none"/>
              <w:lang w:val="zh-CN"/>
            </w:rPr>
            <w:fldChar w:fldCharType="end"/>
          </w:r>
        </w:p>
        <w:p w14:paraId="1BF1013D">
          <w:pPr>
            <w:pStyle w:val="24"/>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_Toc10578 </w:instrText>
          </w:r>
          <w:r>
            <w:rPr>
              <w:rFonts w:hint="eastAsia" w:ascii="仿宋" w:hAnsi="仿宋" w:eastAsia="仿宋" w:cs="仿宋"/>
              <w:bCs/>
              <w:szCs w:val="32"/>
              <w:highlight w:val="none"/>
              <w:lang w:val="zh-CN"/>
            </w:rPr>
            <w:fldChar w:fldCharType="separate"/>
          </w:r>
          <w:r>
            <w:rPr>
              <w:rFonts w:hint="eastAsia" w:ascii="楷体" w:hAnsi="楷体" w:eastAsia="楷体" w:cs="楷体"/>
              <w:szCs w:val="32"/>
            </w:rPr>
            <w:t xml:space="preserve">10.2 </w:t>
          </w:r>
          <w:r>
            <w:rPr>
              <w:rFonts w:hint="eastAsia" w:ascii="楷体" w:hAnsi="楷体" w:eastAsia="楷体" w:cs="楷体"/>
              <w:szCs w:val="32"/>
              <w:highlight w:val="none"/>
            </w:rPr>
            <w:t>资金落实</w:t>
          </w:r>
          <w:r>
            <w:tab/>
          </w:r>
          <w:r>
            <w:fldChar w:fldCharType="begin"/>
          </w:r>
          <w:r>
            <w:instrText xml:space="preserve"> PAGEREF _Toc10578 \h </w:instrText>
          </w:r>
          <w:r>
            <w:fldChar w:fldCharType="separate"/>
          </w:r>
          <w:r>
            <w:t>67</w:t>
          </w:r>
          <w:r>
            <w:fldChar w:fldCharType="end"/>
          </w:r>
          <w:r>
            <w:rPr>
              <w:rFonts w:hint="eastAsia" w:ascii="仿宋" w:hAnsi="仿宋" w:eastAsia="仿宋" w:cs="仿宋"/>
              <w:bCs/>
              <w:szCs w:val="32"/>
              <w:highlight w:val="none"/>
              <w:lang w:val="zh-CN"/>
            </w:rPr>
            <w:fldChar w:fldCharType="end"/>
          </w:r>
        </w:p>
        <w:p w14:paraId="4E690FA9">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_Toc4123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10.2.1 </w:t>
          </w:r>
          <w:r>
            <w:rPr>
              <w:rFonts w:hint="eastAsia" w:ascii="仿宋_GB2312" w:hAnsi="仿宋_GB2312" w:eastAsia="仿宋_GB2312" w:cs="仿宋_GB2312"/>
              <w:szCs w:val="32"/>
              <w:highlight w:val="none"/>
            </w:rPr>
            <w:t>争取地方政府专项债</w:t>
          </w:r>
          <w:r>
            <w:tab/>
          </w:r>
          <w:r>
            <w:fldChar w:fldCharType="begin"/>
          </w:r>
          <w:r>
            <w:instrText xml:space="preserve"> PAGEREF _Toc4123 \h </w:instrText>
          </w:r>
          <w:r>
            <w:fldChar w:fldCharType="separate"/>
          </w:r>
          <w:r>
            <w:t>67</w:t>
          </w:r>
          <w:r>
            <w:fldChar w:fldCharType="end"/>
          </w:r>
          <w:r>
            <w:rPr>
              <w:rFonts w:hint="eastAsia" w:ascii="仿宋" w:hAnsi="仿宋" w:eastAsia="仿宋" w:cs="仿宋"/>
              <w:bCs/>
              <w:szCs w:val="32"/>
              <w:highlight w:val="none"/>
              <w:lang w:val="zh-CN"/>
            </w:rPr>
            <w:fldChar w:fldCharType="end"/>
          </w:r>
        </w:p>
        <w:p w14:paraId="591A026A">
          <w:pPr>
            <w:pStyle w:val="1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_Toc9986 </w:instrText>
          </w:r>
          <w:r>
            <w:rPr>
              <w:rFonts w:hint="eastAsia" w:ascii="仿宋" w:hAnsi="仿宋" w:eastAsia="仿宋" w:cs="仿宋"/>
              <w:bCs/>
              <w:szCs w:val="32"/>
              <w:highlight w:val="none"/>
              <w:lang w:val="zh-CN"/>
            </w:rPr>
            <w:fldChar w:fldCharType="separate"/>
          </w:r>
          <w:r>
            <w:rPr>
              <w:rFonts w:hint="eastAsia" w:ascii="仿宋" w:hAnsi="仿宋" w:eastAsia="仿宋" w:cs="仿宋_GB2312"/>
              <w:szCs w:val="32"/>
            </w:rPr>
            <w:t xml:space="preserve">10.2.2 </w:t>
          </w:r>
          <w:r>
            <w:rPr>
              <w:rFonts w:hint="eastAsia" w:ascii="仿宋_GB2312" w:hAnsi="仿宋_GB2312" w:eastAsia="仿宋_GB2312" w:cs="仿宋_GB2312"/>
              <w:szCs w:val="32"/>
              <w:highlight w:val="none"/>
            </w:rPr>
            <w:t>统筹多渠道资金</w:t>
          </w:r>
          <w:r>
            <w:tab/>
          </w:r>
          <w:r>
            <w:fldChar w:fldCharType="begin"/>
          </w:r>
          <w:r>
            <w:instrText xml:space="preserve"> PAGEREF _Toc9986 \h </w:instrText>
          </w:r>
          <w:r>
            <w:fldChar w:fldCharType="separate"/>
          </w:r>
          <w:r>
            <w:t>68</w:t>
          </w:r>
          <w:r>
            <w:fldChar w:fldCharType="end"/>
          </w:r>
          <w:r>
            <w:rPr>
              <w:rFonts w:hint="eastAsia" w:ascii="仿宋" w:hAnsi="仿宋" w:eastAsia="仿宋" w:cs="仿宋"/>
              <w:bCs/>
              <w:szCs w:val="32"/>
              <w:highlight w:val="none"/>
              <w:lang w:val="zh-CN"/>
            </w:rPr>
            <w:fldChar w:fldCharType="end"/>
          </w:r>
        </w:p>
        <w:p w14:paraId="54183865">
          <w:pPr>
            <w:pStyle w:val="21"/>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_Toc30907 </w:instrText>
          </w:r>
          <w:r>
            <w:rPr>
              <w:rFonts w:hint="eastAsia" w:ascii="仿宋" w:hAnsi="仿宋" w:eastAsia="仿宋" w:cs="仿宋"/>
              <w:bCs/>
              <w:szCs w:val="32"/>
              <w:highlight w:val="none"/>
              <w:lang w:val="zh-CN"/>
            </w:rPr>
            <w:fldChar w:fldCharType="separate"/>
          </w:r>
          <w:r>
            <w:rPr>
              <w:rFonts w:hint="eastAsia" w:ascii="黑体" w:hAnsi="黑体" w:eastAsia="黑体" w:cs="黑体"/>
              <w:bCs/>
              <w:szCs w:val="32"/>
              <w:highlight w:val="none"/>
            </w:rPr>
            <w:t>附表</w:t>
          </w:r>
          <w:r>
            <w:tab/>
          </w:r>
          <w:r>
            <w:fldChar w:fldCharType="begin"/>
          </w:r>
          <w:r>
            <w:instrText xml:space="preserve"> PAGEREF _Toc30907 \h </w:instrText>
          </w:r>
          <w:r>
            <w:fldChar w:fldCharType="separate"/>
          </w:r>
          <w:r>
            <w:t>69</w:t>
          </w:r>
          <w:r>
            <w:fldChar w:fldCharType="end"/>
          </w:r>
          <w:r>
            <w:rPr>
              <w:rFonts w:hint="eastAsia" w:ascii="仿宋" w:hAnsi="仿宋" w:eastAsia="仿宋" w:cs="仿宋"/>
              <w:bCs/>
              <w:szCs w:val="32"/>
              <w:highlight w:val="none"/>
              <w:lang w:val="zh-CN"/>
            </w:rPr>
            <w:fldChar w:fldCharType="end"/>
          </w:r>
        </w:p>
        <w:p w14:paraId="6A89313F">
          <w:pPr>
            <w:pStyle w:val="21"/>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仿宋" w:hAnsi="仿宋" w:eastAsia="仿宋" w:cs="仿宋"/>
              <w:bCs/>
              <w:szCs w:val="32"/>
              <w:highlight w:val="none"/>
              <w:lang w:val="zh-CN"/>
            </w:rPr>
            <w:fldChar w:fldCharType="begin"/>
          </w:r>
          <w:r>
            <w:rPr>
              <w:rFonts w:hint="eastAsia" w:ascii="仿宋" w:hAnsi="仿宋" w:eastAsia="仿宋" w:cs="仿宋"/>
              <w:bCs/>
              <w:szCs w:val="32"/>
              <w:highlight w:val="none"/>
              <w:lang w:val="zh-CN"/>
            </w:rPr>
            <w:instrText xml:space="preserve"> HYPERLINK \l _Toc6066 </w:instrText>
          </w:r>
          <w:r>
            <w:rPr>
              <w:rFonts w:hint="eastAsia" w:ascii="仿宋" w:hAnsi="仿宋" w:eastAsia="仿宋" w:cs="仿宋"/>
              <w:bCs/>
              <w:szCs w:val="32"/>
              <w:highlight w:val="none"/>
              <w:lang w:val="zh-CN"/>
            </w:rPr>
            <w:fldChar w:fldCharType="separate"/>
          </w:r>
          <w:r>
            <w:rPr>
              <w:rFonts w:hint="eastAsia" w:ascii="黑体" w:hAnsi="黑体" w:eastAsia="黑体" w:cs="黑体"/>
              <w:bCs/>
              <w:szCs w:val="32"/>
              <w:highlight w:val="none"/>
            </w:rPr>
            <w:t>附图</w:t>
          </w:r>
          <w:r>
            <w:tab/>
          </w:r>
          <w:r>
            <w:fldChar w:fldCharType="begin"/>
          </w:r>
          <w:r>
            <w:instrText xml:space="preserve"> PAGEREF _Toc6066 \h </w:instrText>
          </w:r>
          <w:r>
            <w:fldChar w:fldCharType="separate"/>
          </w:r>
          <w:r>
            <w:t>69</w:t>
          </w:r>
          <w:r>
            <w:fldChar w:fldCharType="end"/>
          </w:r>
          <w:r>
            <w:rPr>
              <w:rFonts w:hint="eastAsia" w:ascii="仿宋" w:hAnsi="仿宋" w:eastAsia="仿宋" w:cs="仿宋"/>
              <w:bCs/>
              <w:szCs w:val="32"/>
              <w:highlight w:val="none"/>
              <w:lang w:val="zh-CN"/>
            </w:rPr>
            <w:fldChar w:fldCharType="end"/>
          </w:r>
        </w:p>
        <w:p w14:paraId="43DF8967">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 w:hAnsi="仿宋" w:eastAsia="仿宋" w:cs="仿宋"/>
              <w:sz w:val="32"/>
              <w:szCs w:val="32"/>
              <w:highlight w:val="none"/>
            </w:rPr>
          </w:pPr>
          <w:r>
            <w:rPr>
              <w:rFonts w:hint="eastAsia" w:ascii="仿宋" w:hAnsi="仿宋" w:eastAsia="仿宋" w:cs="仿宋"/>
              <w:bCs/>
              <w:szCs w:val="32"/>
              <w:highlight w:val="none"/>
              <w:lang w:val="zh-CN"/>
            </w:rPr>
            <w:fldChar w:fldCharType="end"/>
          </w:r>
          <w:bookmarkEnd w:id="346"/>
        </w:p>
      </w:sdtContent>
    </w:sdt>
    <w:p w14:paraId="71A706B0">
      <w:pPr>
        <w:spacing w:line="300" w:lineRule="auto"/>
        <w:ind w:firstLine="0" w:firstLineChars="0"/>
        <w:jc w:val="center"/>
        <w:rPr>
          <w:rFonts w:hint="eastAsia" w:ascii="仿宋" w:hAnsi="仿宋" w:eastAsia="仿宋" w:cs="仿宋"/>
          <w:bCs/>
          <w:sz w:val="32"/>
          <w:szCs w:val="32"/>
          <w:highlight w:val="none"/>
        </w:rPr>
      </w:pPr>
    </w:p>
    <w:p w14:paraId="2FB878B6">
      <w:pPr>
        <w:spacing w:line="300" w:lineRule="auto"/>
        <w:ind w:firstLine="0" w:firstLineChars="0"/>
        <w:jc w:val="center"/>
        <w:rPr>
          <w:rFonts w:hint="eastAsia" w:ascii="仿宋" w:hAnsi="仿宋" w:eastAsia="仿宋" w:cs="仿宋"/>
          <w:bCs/>
          <w:sz w:val="32"/>
          <w:szCs w:val="32"/>
          <w:highlight w:val="none"/>
        </w:rPr>
      </w:pPr>
    </w:p>
    <w:p w14:paraId="52FBB1D0">
      <w:pPr>
        <w:ind w:firstLine="800"/>
        <w:jc w:val="center"/>
        <w:rPr>
          <w:rFonts w:hint="eastAsia" w:ascii="仿宋" w:hAnsi="仿宋" w:eastAsia="仿宋" w:cs="仿宋"/>
          <w:bCs/>
          <w:sz w:val="32"/>
          <w:szCs w:val="32"/>
          <w:highlight w:val="none"/>
        </w:rPr>
      </w:pPr>
    </w:p>
    <w:p w14:paraId="1CE14E48">
      <w:pPr>
        <w:ind w:firstLine="800"/>
        <w:jc w:val="center"/>
        <w:rPr>
          <w:rFonts w:hint="eastAsia" w:ascii="仿宋" w:hAnsi="仿宋" w:eastAsia="仿宋" w:cs="仿宋"/>
          <w:bCs/>
          <w:sz w:val="32"/>
          <w:szCs w:val="32"/>
          <w:highlight w:val="none"/>
        </w:rPr>
        <w:sectPr>
          <w:headerReference r:id="rId5" w:type="default"/>
          <w:footerReference r:id="rId6" w:type="default"/>
          <w:pgSz w:w="11906" w:h="16838"/>
          <w:pgMar w:top="1440" w:right="1800" w:bottom="1440" w:left="1800" w:header="851" w:footer="992" w:gutter="0"/>
          <w:pgNumType w:fmt="upperRoman" w:start="1"/>
          <w:cols w:space="425" w:num="1"/>
          <w:docGrid w:type="lines" w:linePitch="312" w:charSpace="0"/>
        </w:sectPr>
      </w:pPr>
    </w:p>
    <w:p w14:paraId="0A84F235">
      <w:pPr>
        <w:pStyle w:val="4"/>
        <w:keepNext/>
        <w:keepLines/>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b w:val="0"/>
          <w:bCs/>
          <w:sz w:val="32"/>
          <w:szCs w:val="32"/>
          <w:highlight w:val="none"/>
        </w:rPr>
      </w:pPr>
      <w:bookmarkStart w:id="2" w:name="_Toc23327"/>
      <w:bookmarkStart w:id="3" w:name="_Toc13120"/>
      <w:r>
        <w:rPr>
          <w:rFonts w:hint="eastAsia" w:ascii="黑体" w:hAnsi="黑体" w:eastAsia="黑体" w:cs="黑体"/>
          <w:b w:val="0"/>
          <w:bCs/>
          <w:sz w:val="32"/>
          <w:szCs w:val="32"/>
          <w:highlight w:val="none"/>
          <w:lang w:eastAsia="zh"/>
          <w:woUserID w:val="3"/>
        </w:rPr>
        <w:t>概述</w:t>
      </w:r>
      <w:bookmarkEnd w:id="2"/>
      <w:bookmarkEnd w:id="3"/>
    </w:p>
    <w:p w14:paraId="294C8AC3">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b/>
          <w:bCs w:val="0"/>
          <w:sz w:val="32"/>
          <w:szCs w:val="32"/>
          <w:highlight w:val="none"/>
        </w:rPr>
      </w:pPr>
      <w:bookmarkStart w:id="4" w:name="_Toc2183"/>
      <w:bookmarkStart w:id="5" w:name="_Toc28102"/>
      <w:r>
        <w:rPr>
          <w:rFonts w:hint="eastAsia" w:ascii="楷体" w:hAnsi="楷体" w:eastAsia="楷体" w:cs="楷体"/>
          <w:b/>
          <w:bCs w:val="0"/>
          <w:sz w:val="32"/>
          <w:szCs w:val="32"/>
          <w:highlight w:val="none"/>
        </w:rPr>
        <w:t>背景和依据</w:t>
      </w:r>
      <w:bookmarkEnd w:id="4"/>
      <w:bookmarkEnd w:id="5"/>
    </w:p>
    <w:p w14:paraId="78741475">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jc w:val="left"/>
        <w:textAlignment w:val="auto"/>
        <w:rPr>
          <w:rFonts w:hint="eastAsia" w:ascii="仿宋_GB2312" w:hAnsi="仿宋_GB2312" w:eastAsia="仿宋_GB2312" w:cs="仿宋_GB2312"/>
          <w:sz w:val="32"/>
          <w:szCs w:val="32"/>
          <w:highlight w:val="none"/>
        </w:rPr>
      </w:pPr>
      <w:bookmarkStart w:id="6" w:name="_Toc23610"/>
      <w:bookmarkStart w:id="7" w:name="_Toc14154"/>
      <w:bookmarkStart w:id="8" w:name="OLE_LINK10"/>
      <w:r>
        <w:rPr>
          <w:rFonts w:hint="eastAsia" w:ascii="仿宋_GB2312" w:hAnsi="仿宋_GB2312" w:eastAsia="仿宋_GB2312" w:cs="仿宋_GB2312"/>
          <w:sz w:val="32"/>
          <w:szCs w:val="32"/>
          <w:highlight w:val="none"/>
        </w:rPr>
        <w:t>方案编制背景</w:t>
      </w:r>
      <w:bookmarkEnd w:id="6"/>
      <w:bookmarkEnd w:id="7"/>
    </w:p>
    <w:p w14:paraId="1841C07F">
      <w:pPr>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近年来，南昌县深入推进农村饮水安全工程建设，先后实施南昌县农村饮水安全较大型集中供水工程、2018-2020年农村饮水安全巩固提升工程、南昌县城乡供水一体化项目等。但受工程建设年代差异及管护机制不完善等影响，农村饮水安全仍存在薄弱环节：一是部分地区重要节假日（如春节、国庆）高峰用水时段供水量不足；二是部分脱贫户、监测对象等重点人群单户分散式供水设施（水井）水量保证率不足；三是部分地区管网老化、地下水水质达标率不足以及饮水安全宣传不到位。为贯彻落实《江西省农村饮水安全薄弱环节整治提升三年行动方案》（赣府厅字〔2025〕40号）</w:t>
      </w:r>
      <w:r>
        <w:rPr>
          <w:rFonts w:hint="eastAsia" w:ascii="仿宋_GB2312" w:hAnsi="仿宋_GB2312" w:eastAsia="仿宋_GB2312" w:cs="仿宋_GB2312"/>
          <w:sz w:val="32"/>
          <w:szCs w:val="32"/>
          <w:highlight w:val="none"/>
          <w:lang w:eastAsia="zh-CN"/>
        </w:rPr>
        <w:t>精神</w:t>
      </w:r>
      <w:r>
        <w:rPr>
          <w:rFonts w:hint="eastAsia" w:ascii="仿宋_GB2312" w:hAnsi="仿宋_GB2312" w:eastAsia="仿宋_GB2312" w:cs="仿宋_GB2312"/>
          <w:sz w:val="32"/>
          <w:szCs w:val="32"/>
          <w:highlight w:val="none"/>
        </w:rPr>
        <w:t>，根据《江西省水利厅办公室关于扎实做好县级农村饮水安全薄弱环节排查与整治提升实施方案编制工作的通知》（赣水办农水字〔2025〕7号）及省、市相关部署，切实保障农村居民饮水安全，助力乡村振兴，特编制本方案。</w:t>
      </w:r>
    </w:p>
    <w:p w14:paraId="2D828282">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textAlignment w:val="auto"/>
        <w:rPr>
          <w:rFonts w:hint="eastAsia" w:ascii="仿宋_GB2312" w:hAnsi="仿宋_GB2312" w:eastAsia="仿宋_GB2312" w:cs="仿宋_GB2312"/>
          <w:sz w:val="32"/>
          <w:szCs w:val="32"/>
          <w:highlight w:val="none"/>
        </w:rPr>
      </w:pPr>
      <w:bookmarkStart w:id="9" w:name="_Toc26061"/>
      <w:bookmarkStart w:id="10" w:name="_Toc31017"/>
      <w:r>
        <w:rPr>
          <w:rFonts w:hint="eastAsia" w:ascii="仿宋_GB2312" w:hAnsi="仿宋_GB2312" w:eastAsia="仿宋_GB2312" w:cs="仿宋_GB2312"/>
          <w:sz w:val="32"/>
          <w:szCs w:val="32"/>
          <w:highlight w:val="none"/>
        </w:rPr>
        <w:t>指导思想</w:t>
      </w:r>
      <w:bookmarkEnd w:id="9"/>
      <w:bookmarkEnd w:id="10"/>
    </w:p>
    <w:p w14:paraId="02D57BD0">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以习近平新时代中国特色社会主义思想为指导，坚持以人民为中心的发展思想，坚持问题导向、精准施策、建管并重、常治长效，</w:t>
      </w:r>
      <w:r>
        <w:rPr>
          <w:rFonts w:hint="eastAsia" w:ascii="仿宋_GB2312" w:hAnsi="仿宋_GB2312" w:eastAsia="仿宋_GB2312" w:cs="仿宋_GB2312"/>
          <w:sz w:val="32"/>
          <w:szCs w:val="32"/>
          <w:highlight w:val="none"/>
          <w:lang w:eastAsia="zh-CN"/>
        </w:rPr>
        <w:t>全面</w:t>
      </w:r>
      <w:r>
        <w:rPr>
          <w:rFonts w:hint="eastAsia" w:ascii="仿宋_GB2312" w:hAnsi="仿宋_GB2312" w:eastAsia="仿宋_GB2312" w:cs="仿宋_GB2312"/>
          <w:sz w:val="32"/>
          <w:szCs w:val="32"/>
          <w:highlight w:val="none"/>
        </w:rPr>
        <w:t>推进城乡供水一体化、集中供水规模化，加快推进县域统管和专业化管理全覆盖，全面实现“一达标、两提升、</w:t>
      </w:r>
      <w:r>
        <w:rPr>
          <w:rFonts w:hint="eastAsia" w:ascii="仿宋_GB2312" w:hAnsi="仿宋_GB2312" w:eastAsia="仿宋_GB2312" w:cs="仿宋_GB2312"/>
          <w:sz w:val="32"/>
          <w:szCs w:val="32"/>
          <w:highlight w:val="none"/>
          <w:lang w:val="en-US" w:eastAsia="zh-CN"/>
        </w:rPr>
        <w:t>三</w:t>
      </w:r>
      <w:r>
        <w:rPr>
          <w:rFonts w:hint="eastAsia" w:ascii="仿宋_GB2312" w:hAnsi="仿宋_GB2312" w:eastAsia="仿宋_GB2312" w:cs="仿宋_GB2312"/>
          <w:sz w:val="32"/>
          <w:szCs w:val="32"/>
          <w:highlight w:val="none"/>
        </w:rPr>
        <w:t>确保”，即水质达到国家生活饮用水卫生标准，水量保障提升到每人每天100升以上，方便程度提升到户户通水，确保农村饮水安全全覆盖，群众饮水诉求应响应全响应，饮水问题应解决全解决。2025年底前，完成农村饮水安全薄弱环节排查，实现重点地区薄弱环节全面解决，难点问题全面销号。2026年全面开展薄弱环节整治，健全完善制度机制，实现供水管理制度和长效运行管护机制基本建立，存量问题全面销号、新增问题动态清零。2027年，农村饮水安全工程体系、管护体系、监管体系进一步健全，县域统管全面覆盖，实现工程管得好、群众能满意。</w:t>
      </w:r>
    </w:p>
    <w:p w14:paraId="52FB9215">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textAlignment w:val="auto"/>
        <w:rPr>
          <w:rFonts w:hint="eastAsia" w:ascii="仿宋_GB2312" w:hAnsi="仿宋_GB2312" w:eastAsia="仿宋_GB2312" w:cs="仿宋_GB2312"/>
          <w:sz w:val="32"/>
          <w:szCs w:val="32"/>
          <w:highlight w:val="none"/>
        </w:rPr>
      </w:pPr>
      <w:bookmarkStart w:id="11" w:name="_Toc12730"/>
      <w:bookmarkStart w:id="12" w:name="_Toc31544"/>
      <w:r>
        <w:rPr>
          <w:rFonts w:hint="eastAsia" w:ascii="仿宋_GB2312" w:hAnsi="仿宋_GB2312" w:eastAsia="仿宋_GB2312" w:cs="仿宋_GB2312"/>
          <w:sz w:val="32"/>
          <w:szCs w:val="32"/>
          <w:highlight w:val="none"/>
        </w:rPr>
        <w:t>基本原则</w:t>
      </w:r>
      <w:bookmarkEnd w:id="11"/>
      <w:bookmarkEnd w:id="12"/>
    </w:p>
    <w:p w14:paraId="18202053">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统筹规划，协调发展。</w:t>
      </w:r>
      <w:r>
        <w:rPr>
          <w:rFonts w:hint="eastAsia" w:ascii="仿宋_GB2312" w:hAnsi="仿宋_GB2312" w:eastAsia="仿宋_GB2312" w:cs="仿宋_GB2312"/>
          <w:sz w:val="32"/>
          <w:szCs w:val="32"/>
          <w:highlight w:val="none"/>
          <w:lang w:val="en-US" w:eastAsia="zh-CN"/>
        </w:rPr>
        <w:t>顺应</w:t>
      </w:r>
      <w:r>
        <w:rPr>
          <w:rFonts w:hint="eastAsia" w:ascii="仿宋_GB2312" w:hAnsi="仿宋_GB2312" w:eastAsia="仿宋_GB2312" w:cs="仿宋_GB2312"/>
          <w:sz w:val="32"/>
          <w:szCs w:val="32"/>
          <w:highlight w:val="none"/>
        </w:rPr>
        <w:t>乡村振兴战略要求，顺应乡村发展规律，加快推进集中供水规模化发展，建立健全水质保障体系，夯实农村基本具备现代生活条件的供水基础，最大程度实现城乡供水同源、同网、同质、同服务、同监管。</w:t>
      </w:r>
    </w:p>
    <w:p w14:paraId="2384E1D4">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规划引领，示范带动。适应村庄人口流动变化、重大节假日用水弹性变化和水源条件，满足农村居民生活和二、三产业用水需求，系统谋划农村供水工作。有条件地区率先落实高质量发展要求，发挥示范带动作用。</w:t>
      </w:r>
    </w:p>
    <w:p w14:paraId="3BD8350B">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县域统管，平急两用。考虑农村供水工程规模和分布，采取以大带小、政府购买服务等方式，加快推进区域统一管理。整合优化现有应急保障资源，从应急方案、预警机制、指挥系统、队伍物资、调动程序等方面，建立平急两用的农村供水应急保障体系。</w:t>
      </w:r>
    </w:p>
    <w:p w14:paraId="7077B538">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两手发力，完善机制。充分发挥政府资金引导作用，用足用好财政资金、专项债券、建设用地、生产用电、水资源费、税收优惠等政策，完善水价形成和水费收缴机制，两手发力吸引社会资本参与农村供水工程建设和运营。</w:t>
      </w:r>
    </w:p>
    <w:p w14:paraId="3B701776">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广泛参与，社会监督。发挥乡镇人民政府、村集体、基层党组织和村民作用，参与农村供水工程项目规划、建设、运行维护和水源保护，合理分担供水设施建设和运行维护费用。充分尊重农民意愿，做到问需于民、问计于民。</w:t>
      </w:r>
    </w:p>
    <w:p w14:paraId="5640D5EB">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textAlignment w:val="auto"/>
        <w:rPr>
          <w:rFonts w:hint="eastAsia" w:ascii="仿宋_GB2312" w:hAnsi="仿宋_GB2312" w:eastAsia="仿宋_GB2312" w:cs="仿宋_GB2312"/>
          <w:sz w:val="32"/>
          <w:szCs w:val="32"/>
          <w:highlight w:val="none"/>
        </w:rPr>
      </w:pPr>
      <w:bookmarkStart w:id="13" w:name="_Toc28657"/>
      <w:bookmarkStart w:id="14" w:name="_Toc30007"/>
      <w:r>
        <w:rPr>
          <w:rFonts w:hint="eastAsia" w:ascii="仿宋_GB2312" w:hAnsi="仿宋_GB2312" w:eastAsia="仿宋_GB2312" w:cs="仿宋_GB2312"/>
          <w:sz w:val="32"/>
          <w:szCs w:val="32"/>
          <w:highlight w:val="none"/>
        </w:rPr>
        <w:t>编制依据</w:t>
      </w:r>
      <w:bookmarkEnd w:id="13"/>
      <w:bookmarkEnd w:id="14"/>
    </w:p>
    <w:p w14:paraId="105B803A">
      <w:pPr>
        <w:pageBreakBefore w:val="0"/>
        <w:widowControl w:val="0"/>
        <w:numPr>
          <w:ilvl w:val="2"/>
          <w:numId w:val="2"/>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政策性文件</w:t>
      </w:r>
    </w:p>
    <w:p w14:paraId="2152DB1B">
      <w:pPr>
        <w:pageBreakBefore w:val="0"/>
        <w:widowControl w:val="0"/>
        <w:numPr>
          <w:ilvl w:val="2"/>
          <w:numId w:val="3"/>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《中共中央国务院关于实施乡村振兴战略的意见》（中发〔2018〕1号）；</w:t>
      </w:r>
    </w:p>
    <w:p w14:paraId="02AC70D5">
      <w:pPr>
        <w:pageBreakBefore w:val="0"/>
        <w:widowControl w:val="0"/>
        <w:numPr>
          <w:ilvl w:val="2"/>
          <w:numId w:val="3"/>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《国务院办公厅关于创新农村基础设施投融资体制机制的指导意见》（国办发〔2017〕17号）；</w:t>
      </w:r>
    </w:p>
    <w:p w14:paraId="2C713C93">
      <w:pPr>
        <w:pageBreakBefore w:val="0"/>
        <w:widowControl w:val="0"/>
        <w:numPr>
          <w:ilvl w:val="2"/>
          <w:numId w:val="3"/>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《江西省水利厅办公室关于扎实做好县级农村饮水安全薄弱环节排查与整治提升实施方案编制工作的通知》（水办农水字〔2025〕7号）；</w:t>
      </w:r>
    </w:p>
    <w:p w14:paraId="0F2D98CB">
      <w:pPr>
        <w:pageBreakBefore w:val="0"/>
        <w:widowControl w:val="0"/>
        <w:numPr>
          <w:ilvl w:val="2"/>
          <w:numId w:val="3"/>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《水利部关于建立农村饮水安全管理责任体系的通知》（水农〔2019〕2号）；</w:t>
      </w:r>
    </w:p>
    <w:p w14:paraId="634B4F81">
      <w:pPr>
        <w:pageBreakBefore w:val="0"/>
        <w:widowControl w:val="0"/>
        <w:numPr>
          <w:ilvl w:val="2"/>
          <w:numId w:val="3"/>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《水利部关于推进农村供水工程标准化管理的通知》（办农水〔2022〕307号）；</w:t>
      </w:r>
    </w:p>
    <w:p w14:paraId="5B35E4B3">
      <w:pPr>
        <w:pageBreakBefore w:val="0"/>
        <w:widowControl w:val="0"/>
        <w:numPr>
          <w:ilvl w:val="2"/>
          <w:numId w:val="3"/>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《关于推进乡镇及以下集中式饮用水源地生态环境保护工作的指导意见》（环水体函〔2019〕92号）；</w:t>
      </w:r>
    </w:p>
    <w:p w14:paraId="3D9382E4">
      <w:pPr>
        <w:pageBreakBefore w:val="0"/>
        <w:widowControl w:val="0"/>
        <w:numPr>
          <w:ilvl w:val="2"/>
          <w:numId w:val="3"/>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《水利部办公厅关于加快推进农村供水工程水费收缴工作的通知》（办农水〔2019〕210号）；</w:t>
      </w:r>
    </w:p>
    <w:p w14:paraId="5F1132D4">
      <w:pPr>
        <w:pageBreakBefore w:val="0"/>
        <w:widowControl w:val="0"/>
        <w:numPr>
          <w:ilvl w:val="2"/>
          <w:numId w:val="3"/>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《水利部关于加快推动农村供水高质量发展的指导意见》（水农〔2023〕283号）；</w:t>
      </w:r>
    </w:p>
    <w:p w14:paraId="31D7CC3A">
      <w:pPr>
        <w:pageBreakBefore w:val="0"/>
        <w:widowControl w:val="0"/>
        <w:numPr>
          <w:ilvl w:val="2"/>
          <w:numId w:val="3"/>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bookmarkStart w:id="15" w:name="OLE_LINK1"/>
      <w:r>
        <w:rPr>
          <w:rFonts w:hint="eastAsia" w:ascii="仿宋_GB2312" w:hAnsi="仿宋_GB2312" w:eastAsia="仿宋_GB2312" w:cs="仿宋_GB2312"/>
          <w:sz w:val="32"/>
          <w:szCs w:val="32"/>
          <w:highlight w:val="none"/>
        </w:rPr>
        <w:t>江西省农村供水高质量发展规划</w:t>
      </w:r>
      <w:bookmarkEnd w:id="15"/>
      <w:r>
        <w:rPr>
          <w:rFonts w:hint="eastAsia" w:ascii="仿宋_GB2312" w:hAnsi="仿宋_GB2312" w:eastAsia="仿宋_GB2312" w:cs="仿宋_GB2312"/>
          <w:sz w:val="32"/>
          <w:szCs w:val="32"/>
          <w:highlight w:val="none"/>
        </w:rPr>
        <w:t>（2023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2035）》；</w:t>
      </w:r>
    </w:p>
    <w:bookmarkEnd w:id="8"/>
    <w:p w14:paraId="3EC2A569">
      <w:pPr>
        <w:pageBreakBefore w:val="0"/>
        <w:widowControl w:val="0"/>
        <w:numPr>
          <w:ilvl w:val="2"/>
          <w:numId w:val="3"/>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bookmarkStart w:id="16" w:name="OLE_LINK15"/>
      <w:r>
        <w:rPr>
          <w:rFonts w:hint="eastAsia" w:ascii="仿宋_GB2312" w:hAnsi="仿宋_GB2312" w:eastAsia="仿宋_GB2312" w:cs="仿宋_GB2312"/>
          <w:sz w:val="32"/>
          <w:szCs w:val="32"/>
          <w:highlight w:val="none"/>
        </w:rPr>
        <w:t>《江西省农村饮水安全薄弱环节整治提升三年行动方案》（赣府发〔2025〕40号）</w:t>
      </w:r>
      <w:bookmarkEnd w:id="16"/>
      <w:r>
        <w:rPr>
          <w:rFonts w:hint="eastAsia" w:ascii="仿宋_GB2312" w:hAnsi="仿宋_GB2312" w:eastAsia="仿宋_GB2312" w:cs="仿宋_GB2312"/>
          <w:sz w:val="32"/>
          <w:szCs w:val="32"/>
          <w:highlight w:val="none"/>
        </w:rPr>
        <w:t>。</w:t>
      </w:r>
    </w:p>
    <w:p w14:paraId="4C508CE7">
      <w:pPr>
        <w:pageBreakBefore w:val="0"/>
        <w:widowControl w:val="0"/>
        <w:numPr>
          <w:ilvl w:val="2"/>
          <w:numId w:val="2"/>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规程规范</w:t>
      </w:r>
    </w:p>
    <w:p w14:paraId="493A5900">
      <w:pPr>
        <w:pageBreakBefore w:val="0"/>
        <w:widowControl w:val="0"/>
        <w:numPr>
          <w:ilvl w:val="2"/>
          <w:numId w:val="4"/>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《村镇供水工程技术规范》（GB/T43824-2024）；</w:t>
      </w:r>
    </w:p>
    <w:p w14:paraId="5E754218">
      <w:pPr>
        <w:pageBreakBefore w:val="0"/>
        <w:widowControl w:val="0"/>
        <w:numPr>
          <w:ilvl w:val="2"/>
          <w:numId w:val="4"/>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《生活饮用水卫生标准》（GB5749-2022）；</w:t>
      </w:r>
    </w:p>
    <w:p w14:paraId="53757E8A">
      <w:pPr>
        <w:pageBreakBefore w:val="0"/>
        <w:widowControl w:val="0"/>
        <w:numPr>
          <w:ilvl w:val="2"/>
          <w:numId w:val="4"/>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《室外给水设计标准》（GB50013-2018）；</w:t>
      </w:r>
    </w:p>
    <w:p w14:paraId="5D845C95">
      <w:pPr>
        <w:pageBreakBefore w:val="0"/>
        <w:widowControl w:val="0"/>
        <w:numPr>
          <w:ilvl w:val="2"/>
          <w:numId w:val="4"/>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《地表水环境质量监测技术规范》（HJ91.2-2022）；</w:t>
      </w:r>
    </w:p>
    <w:p w14:paraId="39E0A1E9">
      <w:pPr>
        <w:pageBreakBefore w:val="0"/>
        <w:widowControl w:val="0"/>
        <w:numPr>
          <w:ilvl w:val="2"/>
          <w:numId w:val="4"/>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《地下水质量标准》（GB/T14848-2017）；</w:t>
      </w:r>
    </w:p>
    <w:p w14:paraId="79B0430E">
      <w:pPr>
        <w:pageBreakBefore w:val="0"/>
        <w:widowControl w:val="0"/>
        <w:numPr>
          <w:ilvl w:val="2"/>
          <w:numId w:val="4"/>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《生产建设项目水土保持技术标准》（GB50433-2018）；</w:t>
      </w:r>
    </w:p>
    <w:p w14:paraId="7A096100">
      <w:pPr>
        <w:pageBreakBefore w:val="0"/>
        <w:widowControl w:val="0"/>
        <w:numPr>
          <w:ilvl w:val="2"/>
          <w:numId w:val="4"/>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《农村饮水安全评价准则》（T/CHES18-2018）；</w:t>
      </w:r>
    </w:p>
    <w:p w14:paraId="54DB3303">
      <w:pPr>
        <w:pageBreakBefore w:val="0"/>
        <w:widowControl w:val="0"/>
        <w:numPr>
          <w:ilvl w:val="2"/>
          <w:numId w:val="4"/>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《水利建设项目经济评价规范》（SL72-2013）；</w:t>
      </w:r>
    </w:p>
    <w:p w14:paraId="7840D739">
      <w:pPr>
        <w:pageBreakBefore w:val="0"/>
        <w:widowControl w:val="0"/>
        <w:numPr>
          <w:ilvl w:val="2"/>
          <w:numId w:val="4"/>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《水环境监测规范》（SL219-2013）；</w:t>
      </w:r>
    </w:p>
    <w:p w14:paraId="6A8D9D71">
      <w:pPr>
        <w:pageBreakBefore w:val="0"/>
        <w:widowControl w:val="0"/>
        <w:numPr>
          <w:ilvl w:val="2"/>
          <w:numId w:val="4"/>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《建设项目水资源论证导则》（SL/T525-2023）；</w:t>
      </w:r>
    </w:p>
    <w:p w14:paraId="55DDDC14">
      <w:pPr>
        <w:pageBreakBefore w:val="0"/>
        <w:widowControl w:val="0"/>
        <w:numPr>
          <w:ilvl w:val="2"/>
          <w:numId w:val="4"/>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《村镇供水工程运行管理规程》（SL689-2013）；</w:t>
      </w:r>
    </w:p>
    <w:p w14:paraId="3B50D7EA">
      <w:pPr>
        <w:pageBreakBefore w:val="0"/>
        <w:widowControl w:val="0"/>
        <w:numPr>
          <w:ilvl w:val="2"/>
          <w:numId w:val="4"/>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《饮用水水源保护区划分技术规范》（HJ38-2018）；</w:t>
      </w:r>
    </w:p>
    <w:p w14:paraId="2777EE05">
      <w:pPr>
        <w:pageBreakBefore w:val="0"/>
        <w:widowControl w:val="0"/>
        <w:numPr>
          <w:ilvl w:val="2"/>
          <w:numId w:val="4"/>
        </w:numPr>
        <w:kinsoku/>
        <w:wordWrap/>
        <w:overflowPunct/>
        <w:topLinePunct w:val="0"/>
        <w:autoSpaceDE/>
        <w:autoSpaceDN/>
        <w:bidi w:val="0"/>
        <w:adjustRightInd/>
        <w:snapToGrid/>
        <w:spacing w:line="560" w:lineRule="exact"/>
        <w:ind w:left="884" w:hanging="442" w:firstLineChars="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《饮用水水源保护区标志技术要求》（HJ/T433-2008）；</w:t>
      </w:r>
    </w:p>
    <w:p w14:paraId="3EF310A1">
      <w:pPr>
        <w:pageBreakBefore w:val="0"/>
        <w:widowControl w:val="0"/>
        <w:numPr>
          <w:ilvl w:val="2"/>
          <w:numId w:val="4"/>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《集中式饮用水水源编码规范》（HJ747-2015）；</w:t>
      </w:r>
    </w:p>
    <w:p w14:paraId="0DD1D006">
      <w:pPr>
        <w:pageBreakBefore w:val="0"/>
        <w:widowControl w:val="0"/>
        <w:numPr>
          <w:ilvl w:val="2"/>
          <w:numId w:val="4"/>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《江西省生活用水定额》（DB36/T419-2017）；</w:t>
      </w:r>
    </w:p>
    <w:p w14:paraId="4526405C">
      <w:pPr>
        <w:pageBreakBefore w:val="0"/>
        <w:widowControl w:val="0"/>
        <w:numPr>
          <w:ilvl w:val="2"/>
          <w:numId w:val="4"/>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其他相关规程、规范、标准等。</w:t>
      </w:r>
    </w:p>
    <w:p w14:paraId="677FDC84">
      <w:pPr>
        <w:pageBreakBefore w:val="0"/>
        <w:widowControl w:val="0"/>
        <w:numPr>
          <w:ilvl w:val="2"/>
          <w:numId w:val="2"/>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相关规划成果</w:t>
      </w:r>
    </w:p>
    <w:p w14:paraId="2F3B9EA7">
      <w:pPr>
        <w:pageBreakBefore w:val="0"/>
        <w:widowControl w:val="0"/>
        <w:numPr>
          <w:ilvl w:val="2"/>
          <w:numId w:val="5"/>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《江西省乡村振兴战略规划（2018</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2022年）》</w:t>
      </w:r>
      <w:bookmarkStart w:id="17" w:name="OLE_LINK8"/>
      <w:r>
        <w:rPr>
          <w:rFonts w:hint="eastAsia" w:ascii="仿宋_GB2312" w:hAnsi="仿宋_GB2312" w:eastAsia="仿宋_GB2312" w:cs="仿宋_GB2312"/>
          <w:sz w:val="32"/>
          <w:szCs w:val="32"/>
          <w:highlight w:val="none"/>
        </w:rPr>
        <w:t>（2018年）；</w:t>
      </w:r>
      <w:bookmarkEnd w:id="17"/>
    </w:p>
    <w:p w14:paraId="1D423952">
      <w:pPr>
        <w:pageBreakBefore w:val="0"/>
        <w:widowControl w:val="0"/>
        <w:numPr>
          <w:ilvl w:val="2"/>
          <w:numId w:val="5"/>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《江西省农村供水高质量发展规划（2023</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2035年）》（2023年）；</w:t>
      </w:r>
    </w:p>
    <w:p w14:paraId="109DD1AA">
      <w:pPr>
        <w:pageBreakBefore w:val="0"/>
        <w:widowControl w:val="0"/>
        <w:numPr>
          <w:ilvl w:val="2"/>
          <w:numId w:val="5"/>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《江西省城市应急备用水源地建设规划（2018</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2035年）》；</w:t>
      </w:r>
    </w:p>
    <w:p w14:paraId="11811631">
      <w:pPr>
        <w:pageBreakBefore w:val="0"/>
        <w:widowControl w:val="0"/>
        <w:numPr>
          <w:ilvl w:val="2"/>
          <w:numId w:val="5"/>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《南昌市国土空间总体规划（2021</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2035年）》；</w:t>
      </w:r>
    </w:p>
    <w:p w14:paraId="203D0874">
      <w:pPr>
        <w:pageBreakBefore w:val="0"/>
        <w:widowControl w:val="0"/>
        <w:numPr>
          <w:ilvl w:val="2"/>
          <w:numId w:val="5"/>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《南昌县总体规划》（2011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2030年）；</w:t>
      </w:r>
    </w:p>
    <w:p w14:paraId="607A1BE3">
      <w:pPr>
        <w:pageBreakBefore w:val="0"/>
        <w:widowControl w:val="0"/>
        <w:numPr>
          <w:ilvl w:val="2"/>
          <w:numId w:val="5"/>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《南昌县城乡一体化工程规划报告》（2021年）；</w:t>
      </w:r>
    </w:p>
    <w:p w14:paraId="478CB3D3">
      <w:pPr>
        <w:pageBreakBefore w:val="0"/>
        <w:widowControl w:val="0"/>
        <w:numPr>
          <w:ilvl w:val="2"/>
          <w:numId w:val="5"/>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《南昌县城市给水工程专项规划（2016</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2030年）》；</w:t>
      </w:r>
    </w:p>
    <w:p w14:paraId="7BDB6FC1">
      <w:pPr>
        <w:pageBreakBefore w:val="0"/>
        <w:widowControl w:val="0"/>
        <w:numPr>
          <w:ilvl w:val="2"/>
          <w:numId w:val="5"/>
        </w:numPr>
        <w:kinsoku/>
        <w:wordWrap/>
        <w:overflowPunct/>
        <w:topLinePunct w:val="0"/>
        <w:autoSpaceDE/>
        <w:autoSpaceDN/>
        <w:bidi w:val="0"/>
        <w:adjustRightInd/>
        <w:snapToGrid/>
        <w:spacing w:line="560" w:lineRule="exact"/>
        <w:ind w:left="884" w:hanging="442"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其他相关规划成果。</w:t>
      </w:r>
    </w:p>
    <w:p w14:paraId="2C5B319B">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18" w:name="_Toc16679"/>
      <w:bookmarkStart w:id="19" w:name="_Toc31621"/>
      <w:bookmarkStart w:id="20" w:name="OLE_LINK18"/>
      <w:r>
        <w:rPr>
          <w:rFonts w:hint="eastAsia" w:ascii="楷体" w:hAnsi="楷体" w:eastAsia="楷体" w:cs="楷体"/>
          <w:sz w:val="32"/>
          <w:szCs w:val="32"/>
          <w:highlight w:val="none"/>
        </w:rPr>
        <w:t>实施的必要性</w:t>
      </w:r>
      <w:bookmarkEnd w:id="18"/>
      <w:bookmarkEnd w:id="19"/>
    </w:p>
    <w:bookmarkEnd w:id="20"/>
    <w:p w14:paraId="418ACFC4">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bookmarkStart w:id="21" w:name="OLE_LINK19"/>
      <w:r>
        <w:rPr>
          <w:rFonts w:hint="eastAsia" w:ascii="仿宋_GB2312" w:hAnsi="仿宋_GB2312" w:eastAsia="仿宋_GB2312" w:cs="仿宋_GB2312"/>
          <w:sz w:val="32"/>
          <w:szCs w:val="32"/>
          <w:highlight w:val="none"/>
        </w:rPr>
        <w:t>城乡供水一体化项目完成后，南昌县城乡供水仍存在供水能力不足、集中供水率未达100%、部分工程建设标准低、长效运行机制不健全等问题，与省委、省政府全力推进城乡供水一体化要求还有一定的差距，与实施乡村振兴战略和农村居民对美好生活的向往还有差距。</w:t>
      </w:r>
    </w:p>
    <w:p w14:paraId="05515E7C">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通过对现状供水设施进行更新换代、信息化管理，实施给水管网进一步延伸、改造和连通工程，整治提升全县农村饮水安全薄弱环节，是实现城乡供水一体化、整合优化供水资源的重要举措，也是响应国务院对农村饮水安全指导意见的基本要求，是实现农村居民喝上安全水、放心水、幸福水愿望的必要途径。</w:t>
      </w:r>
    </w:p>
    <w:bookmarkEnd w:id="21"/>
    <w:p w14:paraId="1DA26B14">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22" w:name="_Toc16784"/>
      <w:bookmarkStart w:id="23" w:name="_Toc16450"/>
      <w:r>
        <w:rPr>
          <w:rFonts w:hint="eastAsia" w:ascii="楷体" w:hAnsi="楷体" w:eastAsia="楷体" w:cs="楷体"/>
          <w:sz w:val="32"/>
          <w:szCs w:val="32"/>
          <w:highlight w:val="none"/>
        </w:rPr>
        <w:t>方案编制目标</w:t>
      </w:r>
      <w:bookmarkEnd w:id="22"/>
      <w:bookmarkEnd w:id="23"/>
    </w:p>
    <w:p w14:paraId="7AF2A24C">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本次方案编制工作，将聚焦《江西省农村饮水安全薄弱环节整治提升三年行动方案》的全面落地，以彻底解决我县农村供水保障的突出矛盾和瓶颈问题为目标，全面推进农村饮水安全迈向高质量发展新阶段。</w:t>
      </w:r>
    </w:p>
    <w:p w14:paraId="49493B1D">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一、建立“一本账”</w:t>
      </w:r>
    </w:p>
    <w:p w14:paraId="196DAAF8">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全面摸清全县农村供水工程现状及县域统管机制运行效能，形成完整、准确的基础信息台账。</w:t>
      </w:r>
    </w:p>
    <w:p w14:paraId="1F44A0FF">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二、识别“真症结”</w:t>
      </w:r>
    </w:p>
    <w:p w14:paraId="26E11341">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秉持“全员覆盖、全域覆盖、全工程排查”理念，深度排查农村饮水安全中存在的短板与隐患，精准诊断问题根源，形成覆盖全面、描述精准的“三张清单”（问题、措施、任务）。</w:t>
      </w:r>
    </w:p>
    <w:p w14:paraId="23AC7C6E">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三、开出“好药方”</w:t>
      </w:r>
    </w:p>
    <w:p w14:paraId="2B2E5D4E">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结合摸排情况，研究制定具有高度针对性、强可操作性的整治提升方案，并科学核算项目投资需求。</w:t>
      </w:r>
    </w:p>
    <w:p w14:paraId="2CBE4EE8">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四、确保“真成效”</w:t>
      </w:r>
    </w:p>
    <w:p w14:paraId="1BE5DE65">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在三年整治行动期满后，系统评估全县供水工程建设和县域统管水平的实际提升效果。</w:t>
      </w:r>
    </w:p>
    <w:p w14:paraId="5C918070">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五、赋能“一张图”</w:t>
      </w:r>
    </w:p>
    <w:p w14:paraId="54F927EC">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为“江西省城乡供水一体化监管服务平台”的工程概况模块中“全省一张图”的建设，提供权威、动态的基础数据支撑。</w:t>
      </w:r>
    </w:p>
    <w:p w14:paraId="757D5D67">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24" w:name="_Toc17097"/>
      <w:bookmarkStart w:id="25" w:name="_Toc10272"/>
      <w:bookmarkStart w:id="26" w:name="OLE_LINK23"/>
      <w:r>
        <w:rPr>
          <w:rFonts w:hint="eastAsia" w:ascii="楷体" w:hAnsi="楷体" w:eastAsia="楷体" w:cs="楷体"/>
          <w:sz w:val="32"/>
          <w:szCs w:val="32"/>
          <w:highlight w:val="none"/>
        </w:rPr>
        <w:t>总体框架</w:t>
      </w:r>
      <w:bookmarkEnd w:id="24"/>
      <w:bookmarkEnd w:id="25"/>
    </w:p>
    <w:bookmarkEnd w:id="26"/>
    <w:p w14:paraId="225EEF93">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lang w:val="en-US" w:eastAsia="zh-CN"/>
        </w:rPr>
      </w:pPr>
      <w:bookmarkStart w:id="27" w:name="OLE_LINK14"/>
      <w:bookmarkStart w:id="28" w:name="OLE_LINK12"/>
      <w:bookmarkStart w:id="29" w:name="OLE_LINK16"/>
      <w:r>
        <w:rPr>
          <w:rFonts w:hint="eastAsia" w:ascii="仿宋_GB2312" w:hAnsi="仿宋_GB2312" w:eastAsia="仿宋_GB2312" w:cs="仿宋_GB2312"/>
          <w:sz w:val="32"/>
          <w:szCs w:val="32"/>
          <w:highlight w:val="none"/>
          <w:lang w:val="en-US" w:eastAsia="zh-CN"/>
        </w:rPr>
        <w:t>方案涉及工程数43个，其中规模化供水工程8个，单户分式供水工程34个，信息化建设1个。</w:t>
      </w:r>
    </w:p>
    <w:p w14:paraId="65751BFF">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lang w:val="en-US"/>
        </w:rPr>
      </w:pPr>
      <w:r>
        <w:rPr>
          <w:rFonts w:hint="eastAsia" w:ascii="仿宋_GB2312" w:hAnsi="仿宋_GB2312" w:eastAsia="仿宋_GB2312" w:cs="仿宋_GB2312"/>
          <w:sz w:val="32"/>
          <w:szCs w:val="32"/>
          <w:highlight w:val="none"/>
          <w:lang w:val="en-US" w:eastAsia="zh-CN"/>
        </w:rPr>
        <w:t>方案涉及薄弱环节问题数47个。问题整治涉及工程举措46个（水源及取水工程2个，输配水工程42个，净水工程2个）</w:t>
      </w:r>
      <w:bookmarkEnd w:id="27"/>
      <w:r>
        <w:rPr>
          <w:rFonts w:hint="eastAsia" w:ascii="仿宋_GB2312" w:hAnsi="仿宋_GB2312" w:eastAsia="仿宋_GB2312" w:cs="仿宋_GB2312"/>
          <w:sz w:val="32"/>
          <w:szCs w:val="32"/>
          <w:highlight w:val="none"/>
          <w:lang w:val="en-US" w:eastAsia="zh-CN"/>
        </w:rPr>
        <w:t>，非工程举措1个。</w:t>
      </w:r>
    </w:p>
    <w:bookmarkEnd w:id="28"/>
    <w:bookmarkEnd w:id="29"/>
    <w:p w14:paraId="58BFEEE9">
      <w:pPr>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highlight w:val="none"/>
        </w:rPr>
      </w:pPr>
    </w:p>
    <w:p w14:paraId="563D425A">
      <w:pPr>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highlight w:val="none"/>
        </w:rPr>
        <w:sectPr>
          <w:footerReference r:id="rId7" w:type="default"/>
          <w:pgSz w:w="11906" w:h="16838"/>
          <w:pgMar w:top="1440" w:right="1800" w:bottom="1440" w:left="1800" w:header="851" w:footer="992" w:gutter="0"/>
          <w:pgNumType w:fmt="decimal" w:start="1"/>
          <w:cols w:space="425" w:num="1"/>
          <w:docGrid w:type="lines" w:linePitch="312" w:charSpace="0"/>
        </w:sectPr>
      </w:pPr>
    </w:p>
    <w:p w14:paraId="07274B25">
      <w:pPr>
        <w:pStyle w:val="4"/>
        <w:keepNext/>
        <w:keepLines/>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b w:val="0"/>
          <w:bCs/>
          <w:sz w:val="32"/>
          <w:szCs w:val="32"/>
          <w:highlight w:val="none"/>
        </w:rPr>
      </w:pPr>
      <w:bookmarkStart w:id="30" w:name="_Toc22309"/>
      <w:bookmarkStart w:id="31" w:name="_Toc23555"/>
      <w:r>
        <w:rPr>
          <w:rFonts w:hint="eastAsia" w:ascii="黑体" w:hAnsi="黑体" w:eastAsia="黑体" w:cs="黑体"/>
          <w:b w:val="0"/>
          <w:bCs/>
          <w:sz w:val="32"/>
          <w:szCs w:val="32"/>
          <w:highlight w:val="none"/>
        </w:rPr>
        <w:t>农村供水概况</w:t>
      </w:r>
      <w:bookmarkEnd w:id="30"/>
      <w:bookmarkEnd w:id="31"/>
    </w:p>
    <w:p w14:paraId="097A72C2">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32" w:name="_Toc5029"/>
      <w:bookmarkStart w:id="33" w:name="_Toc13526"/>
      <w:r>
        <w:rPr>
          <w:rFonts w:hint="eastAsia" w:ascii="楷体" w:hAnsi="楷体" w:eastAsia="楷体" w:cs="楷体"/>
          <w:sz w:val="32"/>
          <w:szCs w:val="32"/>
          <w:highlight w:val="none"/>
        </w:rPr>
        <w:t>自然地理</w:t>
      </w:r>
      <w:bookmarkEnd w:id="32"/>
      <w:bookmarkEnd w:id="33"/>
    </w:p>
    <w:p w14:paraId="39912550">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textAlignment w:val="auto"/>
        <w:rPr>
          <w:rFonts w:hint="eastAsia" w:ascii="仿宋_GB2312" w:hAnsi="仿宋_GB2312" w:eastAsia="仿宋_GB2312" w:cs="仿宋_GB2312"/>
          <w:sz w:val="32"/>
          <w:szCs w:val="32"/>
          <w:highlight w:val="none"/>
        </w:rPr>
      </w:pPr>
      <w:bookmarkStart w:id="34" w:name="_Toc18731"/>
      <w:bookmarkStart w:id="35" w:name="_Toc2891"/>
      <w:r>
        <w:rPr>
          <w:rFonts w:hint="eastAsia" w:ascii="仿宋_GB2312" w:hAnsi="仿宋_GB2312" w:eastAsia="仿宋_GB2312" w:cs="仿宋_GB2312"/>
          <w:sz w:val="32"/>
          <w:szCs w:val="32"/>
          <w:highlight w:val="none"/>
        </w:rPr>
        <w:t>地理位置</w:t>
      </w:r>
      <w:bookmarkEnd w:id="34"/>
      <w:bookmarkEnd w:id="35"/>
    </w:p>
    <w:p w14:paraId="105147A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南昌县位于江西省中部偏北，南昌市南部，赣江、抚河下游尾闾，鄱阳湖之滨，地理坐标为东经115°49'-116°19'、北纬28°16'-28°58'之间，全县南北长78km，东西宽36km，全县国土面积1810.7km²，东邻进贤县，南接丰城市，东北濒临鄱阳湖，西北与新建区隔赣江相望，中西部与南昌市区呈抱合之势。</w:t>
      </w:r>
    </w:p>
    <w:p w14:paraId="19379AF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南昌县是省会南昌的南大门，三面环绕省会南昌，县城离市区中心仅约18km，公路四通八达，105、316、320国道和温厚高速公路穿境而过；京九铁路与浙赣铁路在向塘镇交汇，使南昌县成为真正的黄金十字铁路枢纽。赣江、抚河在境内交汇，航道可通长江各口岸；县城</w:t>
      </w:r>
      <w:r>
        <w:rPr>
          <w:rFonts w:hint="eastAsia" w:ascii="仿宋_GB2312" w:hAnsi="仿宋_GB2312" w:eastAsia="仿宋_GB2312" w:cs="仿宋_GB2312"/>
          <w:sz w:val="32"/>
          <w:szCs w:val="32"/>
          <w:highlight w:val="none"/>
          <w:lang w:eastAsia="zh-CN"/>
        </w:rPr>
        <w:t>距</w:t>
      </w:r>
      <w:r>
        <w:rPr>
          <w:rFonts w:hint="eastAsia" w:ascii="仿宋_GB2312" w:hAnsi="仿宋_GB2312" w:eastAsia="仿宋_GB2312" w:cs="仿宋_GB2312"/>
          <w:sz w:val="32"/>
          <w:szCs w:val="32"/>
          <w:highlight w:val="none"/>
        </w:rPr>
        <w:t>昌北机场25km</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全县目前已形成了“水、陆、空”三位一体的立体交通格局，距东南沿海地区主要城市上海、杭州、宁波、厦门、深圳、广州</w:t>
      </w:r>
      <w:r>
        <w:rPr>
          <w:rFonts w:hint="eastAsia" w:ascii="仿宋_GB2312" w:hAnsi="仿宋_GB2312" w:eastAsia="仿宋_GB2312" w:cs="仿宋_GB2312"/>
          <w:sz w:val="32"/>
          <w:szCs w:val="32"/>
          <w:highlight w:val="none"/>
          <w:lang w:eastAsia="zh-CN"/>
        </w:rPr>
        <w:t>仅</w:t>
      </w:r>
      <w:r>
        <w:rPr>
          <w:rFonts w:hint="eastAsia" w:ascii="仿宋_GB2312" w:hAnsi="仿宋_GB2312" w:eastAsia="仿宋_GB2312" w:cs="仿宋_GB2312"/>
          <w:sz w:val="32"/>
          <w:szCs w:val="32"/>
          <w:highlight w:val="none"/>
        </w:rPr>
        <w:t>需6～8h，地理位置优越。</w:t>
      </w:r>
    </w:p>
    <w:p w14:paraId="05414E94">
      <w:pPr>
        <w:pStyle w:val="6"/>
        <w:keepNext/>
        <w:keepLines/>
        <w:pageBreakBefore w:val="0"/>
        <w:widowControl w:val="0"/>
        <w:kinsoku/>
        <w:wordWrap/>
        <w:overflowPunct/>
        <w:topLinePunct w:val="0"/>
        <w:autoSpaceDE/>
        <w:autoSpaceDN/>
        <w:bidi w:val="0"/>
        <w:adjustRightInd/>
        <w:snapToGrid/>
        <w:spacing w:line="560" w:lineRule="exact"/>
        <w:ind w:left="720" w:firstLine="0" w:firstLineChars="0"/>
        <w:textAlignment w:val="auto"/>
        <w:rPr>
          <w:rFonts w:hint="eastAsia" w:ascii="仿宋_GB2312" w:hAnsi="仿宋_GB2312" w:eastAsia="仿宋_GB2312" w:cs="仿宋_GB2312"/>
          <w:sz w:val="32"/>
          <w:szCs w:val="32"/>
          <w:highlight w:val="none"/>
        </w:rPr>
      </w:pPr>
      <w:bookmarkStart w:id="36" w:name="_Toc20599"/>
      <w:bookmarkStart w:id="37" w:name="_Toc14802"/>
      <w:r>
        <w:rPr>
          <w:rFonts w:hint="eastAsia" w:ascii="仿宋_GB2312" w:hAnsi="仿宋_GB2312" w:eastAsia="仿宋_GB2312" w:cs="仿宋_GB2312"/>
          <w:sz w:val="32"/>
          <w:szCs w:val="32"/>
          <w:highlight w:val="none"/>
        </w:rPr>
        <w:t>地形地貌</w:t>
      </w:r>
      <w:bookmarkEnd w:id="36"/>
      <w:bookmarkEnd w:id="37"/>
    </w:p>
    <w:p w14:paraId="35702A8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南昌县属鄱阳湖平原地区，地势低洼，河湖港汊纵横交错，全县25m高程（吴淞基点）以下面积占总面积的91%，均在江河湖洪水位以下，全县95%的耕地、90%的人口全靠堤防保护。全县地势南高北低，呈缓慢倾斜状，隆起与下降变化微小，除几条自南向北分布的带状、垄岗状局部低丘外，均较平坦。全境耕地面积占44.96%，水面占29.71%，草洲、洼地占6.51%，村庄、道路、圩堤占16.69%，山地占2.13%，全境无山脉。纵观地貌，东北为湖滨平原；中部为平原，在河床之间尚有一定面积的南北向分布的垄岗状阶地；东南部为低、残丘，近河分布有一定面积的冲积平原。全境平均海拔约25 m，县域南端平均50 m以下，最高点白虎岭主峰181 m；北端平均17 m左右，最低点南新乡芦王村14.7 m。</w:t>
      </w:r>
    </w:p>
    <w:p w14:paraId="2B1B6D2F">
      <w:pPr>
        <w:pStyle w:val="6"/>
        <w:keepNext/>
        <w:keepLines/>
        <w:pageBreakBefore w:val="0"/>
        <w:widowControl w:val="0"/>
        <w:kinsoku/>
        <w:wordWrap/>
        <w:overflowPunct/>
        <w:topLinePunct w:val="0"/>
        <w:autoSpaceDE/>
        <w:autoSpaceDN/>
        <w:bidi w:val="0"/>
        <w:adjustRightInd/>
        <w:snapToGrid/>
        <w:spacing w:line="560" w:lineRule="exact"/>
        <w:ind w:left="720" w:firstLine="0" w:firstLineChars="0"/>
        <w:textAlignment w:val="auto"/>
        <w:rPr>
          <w:rFonts w:hint="eastAsia" w:ascii="仿宋_GB2312" w:hAnsi="仿宋_GB2312" w:eastAsia="仿宋_GB2312" w:cs="仿宋_GB2312"/>
          <w:sz w:val="32"/>
          <w:szCs w:val="32"/>
          <w:highlight w:val="none"/>
        </w:rPr>
      </w:pPr>
      <w:bookmarkStart w:id="38" w:name="_Toc18468"/>
      <w:bookmarkStart w:id="39" w:name="_Toc23157"/>
      <w:r>
        <w:rPr>
          <w:rFonts w:hint="eastAsia" w:ascii="仿宋_GB2312" w:hAnsi="仿宋_GB2312" w:eastAsia="仿宋_GB2312" w:cs="仿宋_GB2312"/>
          <w:sz w:val="32"/>
          <w:szCs w:val="32"/>
          <w:highlight w:val="none"/>
        </w:rPr>
        <w:t>气候</w:t>
      </w:r>
      <w:bookmarkEnd w:id="38"/>
      <w:bookmarkEnd w:id="39"/>
    </w:p>
    <w:p w14:paraId="5638612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南昌县属亚热带湿润气候地带，气候温和，四季分明，雨水充沛，日照充足。由于受地理位置及季风的影响，具有“春季多雨伴低温，春末初夏多洪涝，盛夏酷热又干旱，秋高气爽雨水少，冬季寒冷霜期短”的气候特点。</w:t>
      </w:r>
    </w:p>
    <w:p w14:paraId="4BF37D5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南昌县雨量充沛，多年平均降水量1650.9 mm，夏季为本县雨季，占全年总雨量近一半，春秋次之，分别占三分之一和七分之一，冬季约占十分之一。南昌县每年4</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9月为汛期，其中5</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7月为主汛期，赣、抚、清丰山溪大洪水多出现在4</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6月，鄱阳湖和长江主汛期在6</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9月。</w:t>
      </w:r>
    </w:p>
    <w:p w14:paraId="571C559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南昌县多年平均气温17.6℃左右，全县温度分布趋势差异甚微，在一般情况下，气温西部高于北部，平原稍高于滨湖地区，但温差仅有0.3℃。多年平均蒸发量为1271.6 mm，蒸发量最大在每年“三伏天”和夏末秋初，约占全年蒸发量的60%以上；多年平均相对湿度76%；多年平均无霜期277天；多年平均日照数约1603.4 h。</w:t>
      </w:r>
    </w:p>
    <w:p w14:paraId="750C334E">
      <w:pPr>
        <w:pStyle w:val="6"/>
        <w:keepNext/>
        <w:keepLines/>
        <w:pageBreakBefore w:val="0"/>
        <w:widowControl w:val="0"/>
        <w:kinsoku/>
        <w:wordWrap/>
        <w:overflowPunct/>
        <w:topLinePunct w:val="0"/>
        <w:autoSpaceDE/>
        <w:autoSpaceDN/>
        <w:bidi w:val="0"/>
        <w:adjustRightInd/>
        <w:snapToGrid/>
        <w:spacing w:line="560" w:lineRule="exact"/>
        <w:ind w:left="720" w:firstLine="0" w:firstLineChars="0"/>
        <w:textAlignment w:val="auto"/>
        <w:rPr>
          <w:rFonts w:hint="eastAsia" w:ascii="仿宋_GB2312" w:hAnsi="仿宋_GB2312" w:eastAsia="仿宋_GB2312" w:cs="仿宋_GB2312"/>
          <w:sz w:val="32"/>
          <w:szCs w:val="32"/>
          <w:highlight w:val="none"/>
        </w:rPr>
      </w:pPr>
      <w:bookmarkStart w:id="40" w:name="_Toc28178"/>
      <w:bookmarkStart w:id="41" w:name="_Toc26841"/>
      <w:r>
        <w:rPr>
          <w:rFonts w:hint="eastAsia" w:ascii="仿宋_GB2312" w:hAnsi="仿宋_GB2312" w:eastAsia="仿宋_GB2312" w:cs="仿宋_GB2312"/>
          <w:sz w:val="32"/>
          <w:szCs w:val="32"/>
          <w:highlight w:val="none"/>
        </w:rPr>
        <w:t>地质条件</w:t>
      </w:r>
      <w:bookmarkEnd w:id="40"/>
      <w:bookmarkEnd w:id="41"/>
    </w:p>
    <w:p w14:paraId="7019330A">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南昌县地处赣江、抚河下游冲积平原区，地层为红砂层，红岩埋深30～50 m，莲塘及以上地区红岩标高为-5 m，鄱阳湖区为-20～-50 m不等，红岩以上为第四系更新统、全新统土层，多为二元和三元结构层，即卵石、粗砂、淤泥粘土，表层为耕作壤土覆盖。</w:t>
      </w:r>
    </w:p>
    <w:p w14:paraId="11C802A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南昌县地下水主要有松散岩类孔隙水、红层溶蚀孔隙裂隙水、碳酸盐岩岩溶水、基岩裂隙水4种类型，含水层厚度5.1</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62 m，水位埋深小于5 m，水量较丰富，分布也比较均匀。除县境北部滨湖地区地下水中铁、锰离子含量偏高，其余地区的地下水水质较好，矿化度较低。</w:t>
      </w:r>
    </w:p>
    <w:p w14:paraId="411A18B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南昌县境内含水岩组包括松散岩类孔隙含水岩组、红层溶蚀孔隙裂隙含水岩组、碳酸盐岩岩溶含水岩组和基岩裂隙含水岩组等四类。松散岩类孔隙含水岩组分布在冈上、向塘一线以南，含水层稳定，富水性均匀，出水水质为HCO₃-Ca-Mg-Ce、Hc、Ga型，pH值5.9</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7.6，松散岩类孔隙水是南昌县境内极为重要的地下水。红层溶蚀孔隙裂隙含水岩组分布在向塘以南、赣江以东一带，潜伏于第四系之下，由含钙粉砂岩、泥岩等组成，地下水水质为SO₄-Na⁺-K+Na⁺-Ga型，pH值5.9</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7.6。碳酸盐岩岩溶含水岩组分布于白虎岭林场西南部小范围区域，地下水水质为CO₃²⁻-Ga或HCO₃⁻-Mg²⁺型。基岩裂隙含水岩组分布于黄马和白虎岭林场一带，地下水水质为CO₃²⁻-Ga或HCO₃⁻-Ga-Na⁺型，矿化度较低。</w:t>
      </w:r>
    </w:p>
    <w:p w14:paraId="21339EE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据中国地震参数区划图（GB18306-2015），南昌县地震动峰值加速度为0.05g，地震动加速度反应谱特征周期为0.35s，相应地震烈度为Ⅵ度。</w:t>
      </w:r>
    </w:p>
    <w:p w14:paraId="54636C51">
      <w:pPr>
        <w:pStyle w:val="6"/>
        <w:keepNext/>
        <w:keepLines/>
        <w:pageBreakBefore w:val="0"/>
        <w:widowControl w:val="0"/>
        <w:kinsoku/>
        <w:wordWrap/>
        <w:overflowPunct/>
        <w:topLinePunct w:val="0"/>
        <w:autoSpaceDE/>
        <w:autoSpaceDN/>
        <w:bidi w:val="0"/>
        <w:adjustRightInd/>
        <w:snapToGrid/>
        <w:spacing w:line="560" w:lineRule="exact"/>
        <w:ind w:left="720" w:firstLine="0" w:firstLineChars="0"/>
        <w:textAlignment w:val="auto"/>
        <w:rPr>
          <w:rFonts w:hint="eastAsia" w:ascii="仿宋_GB2312" w:hAnsi="仿宋_GB2312" w:eastAsia="仿宋_GB2312" w:cs="仿宋_GB2312"/>
          <w:sz w:val="32"/>
          <w:szCs w:val="32"/>
          <w:highlight w:val="none"/>
        </w:rPr>
      </w:pPr>
      <w:bookmarkStart w:id="42" w:name="_Toc7735"/>
      <w:bookmarkStart w:id="43" w:name="_Ref102637737"/>
      <w:bookmarkStart w:id="44" w:name="_Ref102637744"/>
      <w:bookmarkStart w:id="45" w:name="_Toc9244"/>
      <w:r>
        <w:rPr>
          <w:rFonts w:hint="eastAsia" w:ascii="仿宋_GB2312" w:hAnsi="仿宋_GB2312" w:eastAsia="仿宋_GB2312" w:cs="仿宋_GB2312"/>
          <w:sz w:val="32"/>
          <w:szCs w:val="32"/>
          <w:highlight w:val="none"/>
        </w:rPr>
        <w:t>水文条件</w:t>
      </w:r>
      <w:bookmarkEnd w:id="42"/>
      <w:bookmarkEnd w:id="43"/>
      <w:bookmarkEnd w:id="44"/>
      <w:bookmarkEnd w:id="45"/>
    </w:p>
    <w:p w14:paraId="053F30F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南昌县主要河道有赣江、抚河、清丰山河3条，总长310 km。大小河流共237条，总长度1870 km，流域面积1587.2 km</w:t>
      </w:r>
      <w:r>
        <w:rPr>
          <w:rFonts w:hint="eastAsia" w:ascii="仿宋_GB2312" w:hAnsi="仿宋_GB2312" w:eastAsia="仿宋_GB2312" w:cs="仿宋_GB2312"/>
          <w:sz w:val="32"/>
          <w:szCs w:val="32"/>
          <w:highlight w:val="none"/>
          <w:vertAlign w:val="superscript"/>
        </w:rPr>
        <w:t>2</w:t>
      </w:r>
      <w:r>
        <w:rPr>
          <w:rFonts w:hint="eastAsia" w:ascii="仿宋_GB2312" w:hAnsi="仿宋_GB2312" w:eastAsia="仿宋_GB2312" w:cs="仿宋_GB2312"/>
          <w:sz w:val="32"/>
          <w:szCs w:val="32"/>
          <w:highlight w:val="none"/>
        </w:rPr>
        <w:t>，河网密度1千米/km</w:t>
      </w:r>
      <w:r>
        <w:rPr>
          <w:rFonts w:hint="eastAsia" w:ascii="仿宋_GB2312" w:hAnsi="仿宋_GB2312" w:eastAsia="仿宋_GB2312" w:cs="仿宋_GB2312"/>
          <w:sz w:val="32"/>
          <w:szCs w:val="32"/>
          <w:highlight w:val="none"/>
          <w:vertAlign w:val="superscript"/>
        </w:rPr>
        <w:t>2</w:t>
      </w:r>
      <w:r>
        <w:rPr>
          <w:rFonts w:hint="eastAsia" w:ascii="仿宋_GB2312" w:hAnsi="仿宋_GB2312" w:eastAsia="仿宋_GB2312" w:cs="仿宋_GB2312"/>
          <w:sz w:val="32"/>
          <w:szCs w:val="32"/>
          <w:highlight w:val="none"/>
        </w:rPr>
        <w:t>，径流总量873.5亿m</w:t>
      </w:r>
      <w:r>
        <w:rPr>
          <w:rFonts w:hint="eastAsia" w:ascii="仿宋_GB2312" w:hAnsi="仿宋_GB2312" w:eastAsia="仿宋_GB2312" w:cs="仿宋_GB2312"/>
          <w:sz w:val="32"/>
          <w:szCs w:val="32"/>
          <w:highlight w:val="none"/>
          <w:vertAlign w:val="superscript"/>
        </w:rPr>
        <w:t>3</w:t>
      </w:r>
      <w:r>
        <w:rPr>
          <w:rFonts w:hint="eastAsia" w:ascii="仿宋_GB2312" w:hAnsi="仿宋_GB2312" w:eastAsia="仿宋_GB2312" w:cs="仿宋_GB2312"/>
          <w:sz w:val="32"/>
          <w:szCs w:val="32"/>
          <w:highlight w:val="none"/>
        </w:rPr>
        <w:t>，年排涝量480.4亿m</w:t>
      </w:r>
      <w:r>
        <w:rPr>
          <w:rFonts w:hint="eastAsia" w:ascii="仿宋_GB2312" w:hAnsi="仿宋_GB2312" w:eastAsia="仿宋_GB2312" w:cs="仿宋_GB2312"/>
          <w:sz w:val="32"/>
          <w:szCs w:val="32"/>
          <w:highlight w:val="none"/>
          <w:vertAlign w:val="superscript"/>
        </w:rPr>
        <w:t>3</w:t>
      </w:r>
      <w:r>
        <w:rPr>
          <w:rFonts w:hint="eastAsia" w:ascii="仿宋_GB2312" w:hAnsi="仿宋_GB2312" w:eastAsia="仿宋_GB2312" w:cs="仿宋_GB2312"/>
          <w:sz w:val="32"/>
          <w:szCs w:val="32"/>
          <w:highlight w:val="none"/>
        </w:rPr>
        <w:t>，年最大排涝量636.5亿m</w:t>
      </w:r>
      <w:r>
        <w:rPr>
          <w:rFonts w:hint="eastAsia" w:ascii="仿宋_GB2312" w:hAnsi="仿宋_GB2312" w:eastAsia="仿宋_GB2312" w:cs="仿宋_GB2312"/>
          <w:sz w:val="32"/>
          <w:szCs w:val="32"/>
          <w:highlight w:val="none"/>
          <w:vertAlign w:val="superscript"/>
        </w:rPr>
        <w:t>3</w:t>
      </w:r>
      <w:r>
        <w:rPr>
          <w:rFonts w:hint="eastAsia" w:ascii="仿宋_GB2312" w:hAnsi="仿宋_GB2312" w:eastAsia="仿宋_GB2312" w:cs="仿宋_GB2312"/>
          <w:sz w:val="32"/>
          <w:szCs w:val="32"/>
          <w:highlight w:val="none"/>
        </w:rPr>
        <w:t>。</w:t>
      </w:r>
    </w:p>
    <w:p w14:paraId="6445A5BA">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赣江从南至北流经境内广福、冈上、富山、东新、南新、蒋巷等乡镇，境内段长136 km，流域面积461.8 km</w:t>
      </w:r>
      <w:r>
        <w:rPr>
          <w:rFonts w:hint="eastAsia" w:ascii="仿宋_GB2312" w:hAnsi="仿宋_GB2312" w:eastAsia="仿宋_GB2312" w:cs="仿宋_GB2312"/>
          <w:sz w:val="32"/>
          <w:szCs w:val="32"/>
          <w:highlight w:val="none"/>
          <w:vertAlign w:val="superscript"/>
        </w:rPr>
        <w:t>2</w:t>
      </w:r>
      <w:r>
        <w:rPr>
          <w:rFonts w:hint="eastAsia" w:ascii="仿宋_GB2312" w:hAnsi="仿宋_GB2312" w:eastAsia="仿宋_GB2312" w:cs="仿宋_GB2312"/>
          <w:sz w:val="32"/>
          <w:szCs w:val="32"/>
          <w:highlight w:val="none"/>
        </w:rPr>
        <w:t>，年均流量2160 m</w:t>
      </w:r>
      <w:r>
        <w:rPr>
          <w:rFonts w:hint="eastAsia" w:ascii="仿宋_GB2312" w:hAnsi="仿宋_GB2312" w:eastAsia="仿宋_GB2312" w:cs="仿宋_GB2312"/>
          <w:sz w:val="32"/>
          <w:szCs w:val="32"/>
          <w:highlight w:val="none"/>
          <w:vertAlign w:val="superscript"/>
        </w:rPr>
        <w:t>3</w:t>
      </w:r>
      <w:r>
        <w:rPr>
          <w:rFonts w:hint="eastAsia" w:ascii="仿宋_GB2312" w:hAnsi="仿宋_GB2312" w:eastAsia="仿宋_GB2312" w:cs="仿宋_GB2312"/>
          <w:sz w:val="32"/>
          <w:szCs w:val="32"/>
          <w:highlight w:val="none"/>
        </w:rPr>
        <w:t>/s，主要支流有赣江北支、赣江中支、赣江南支。</w:t>
      </w:r>
    </w:p>
    <w:p w14:paraId="5EF3CD6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抚河从南至北流经境内黄马、向塘、武阳、塔城、幽兰等乡镇，境内段长48 km，流域面积122.9 km，年均流量482 m</w:t>
      </w:r>
      <w:r>
        <w:rPr>
          <w:rFonts w:hint="eastAsia" w:ascii="仿宋_GB2312" w:hAnsi="仿宋_GB2312" w:eastAsia="仿宋_GB2312" w:cs="仿宋_GB2312"/>
          <w:sz w:val="32"/>
          <w:szCs w:val="32"/>
          <w:highlight w:val="none"/>
          <w:vertAlign w:val="superscript"/>
        </w:rPr>
        <w:t>3</w:t>
      </w:r>
      <w:r>
        <w:rPr>
          <w:rFonts w:hint="eastAsia" w:ascii="仿宋_GB2312" w:hAnsi="仿宋_GB2312" w:eastAsia="仿宋_GB2312" w:cs="仿宋_GB2312"/>
          <w:sz w:val="32"/>
          <w:szCs w:val="32"/>
          <w:highlight w:val="none"/>
        </w:rPr>
        <w:t>/s。</w:t>
      </w:r>
    </w:p>
    <w:p w14:paraId="4A1BB36C">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清丰山河从西南至东北流经境内广福、冈上、富山、莲塘、八一、武阳、幽兰、泾口、塘南等乡镇，境内段长126 km，流域面积1002.5 km</w:t>
      </w:r>
      <w:r>
        <w:rPr>
          <w:rFonts w:hint="eastAsia" w:ascii="仿宋_GB2312" w:hAnsi="仿宋_GB2312" w:eastAsia="仿宋_GB2312" w:cs="仿宋_GB2312"/>
          <w:sz w:val="32"/>
          <w:szCs w:val="32"/>
          <w:highlight w:val="none"/>
          <w:vertAlign w:val="superscript"/>
        </w:rPr>
        <w:t>2</w:t>
      </w:r>
      <w:r>
        <w:rPr>
          <w:rFonts w:hint="eastAsia" w:ascii="仿宋_GB2312" w:hAnsi="仿宋_GB2312" w:eastAsia="仿宋_GB2312" w:cs="仿宋_GB2312"/>
          <w:sz w:val="32"/>
          <w:szCs w:val="32"/>
          <w:highlight w:val="none"/>
        </w:rPr>
        <w:t>，年均流量68.8 m</w:t>
      </w:r>
      <w:r>
        <w:rPr>
          <w:rFonts w:hint="eastAsia" w:ascii="仿宋_GB2312" w:hAnsi="仿宋_GB2312" w:eastAsia="仿宋_GB2312" w:cs="仿宋_GB2312"/>
          <w:sz w:val="32"/>
          <w:szCs w:val="32"/>
          <w:highlight w:val="none"/>
          <w:vertAlign w:val="superscript"/>
        </w:rPr>
        <w:t>3</w:t>
      </w:r>
      <w:r>
        <w:rPr>
          <w:rFonts w:hint="eastAsia" w:ascii="仿宋_GB2312" w:hAnsi="仿宋_GB2312" w:eastAsia="仿宋_GB2312" w:cs="仿宋_GB2312"/>
          <w:sz w:val="32"/>
          <w:szCs w:val="32"/>
          <w:highlight w:val="none"/>
        </w:rPr>
        <w:t>/s。</w:t>
      </w:r>
    </w:p>
    <w:p w14:paraId="23BF0942">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南昌县境内水系还有人工渠道赣抚平原总干渠。</w:t>
      </w:r>
    </w:p>
    <w:p w14:paraId="72D2E65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上述水系为南昌县主要饮用水源。</w:t>
      </w:r>
    </w:p>
    <w:p w14:paraId="1FDB8EB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（1）赣江</w:t>
      </w:r>
    </w:p>
    <w:p w14:paraId="44FFE1A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赣江是江西省第一大河流，赣江位于长江中下游南岸，是长江八大支流之一，属鄱阳湖水系。赣江纵贯江西南北，是江西省第一大河流。赣江发源于石城县洋地乡石寮岽（赣源岽），位于东经116°22'，北纬25°57'。河口为永修县吴城镇望江亭，位于东经116°01′，北纬29°11′。流域地理位置在东经113°30'-116°40′，北纬24°29'-29°11'之间。流域东部与抚河分界，东南部以武夷山脉与福建省分界，南部连广东，西部接湖南，西北部与修河支流潦河分界，北部连郡阳湖，在湖口与长江连通。全流域东西窄、南北长，形状略似斜长方形。赣江主河道长823 km，流域面积82809 km</w:t>
      </w:r>
      <w:r>
        <w:rPr>
          <w:rFonts w:hint="eastAsia" w:ascii="仿宋_GB2312" w:hAnsi="仿宋_GB2312" w:eastAsia="仿宋_GB2312" w:cs="仿宋_GB2312"/>
          <w:sz w:val="32"/>
          <w:szCs w:val="32"/>
          <w:highlight w:val="none"/>
          <w:vertAlign w:val="superscript"/>
        </w:rPr>
        <w:t>2</w:t>
      </w:r>
      <w:r>
        <w:rPr>
          <w:rFonts w:hint="eastAsia" w:ascii="仿宋_GB2312" w:hAnsi="仿宋_GB2312" w:eastAsia="仿宋_GB2312" w:cs="仿宋_GB2312"/>
          <w:sz w:val="32"/>
          <w:szCs w:val="32"/>
          <w:highlight w:val="none"/>
        </w:rPr>
        <w:t>，约占全省总面积的50%，其中外洲水文站以上流域面积80948 km</w:t>
      </w:r>
      <w:r>
        <w:rPr>
          <w:rFonts w:hint="eastAsia" w:ascii="仿宋_GB2312" w:hAnsi="仿宋_GB2312" w:eastAsia="仿宋_GB2312" w:cs="仿宋_GB2312"/>
          <w:sz w:val="32"/>
          <w:szCs w:val="32"/>
          <w:highlight w:val="none"/>
          <w:vertAlign w:val="superscript"/>
        </w:rPr>
        <w:t>2</w:t>
      </w:r>
      <w:r>
        <w:rPr>
          <w:rFonts w:hint="eastAsia" w:ascii="仿宋_GB2312" w:hAnsi="仿宋_GB2312" w:eastAsia="仿宋_GB2312" w:cs="仿宋_GB2312"/>
          <w:sz w:val="32"/>
          <w:szCs w:val="32"/>
          <w:highlight w:val="none"/>
        </w:rPr>
        <w:t>。</w:t>
      </w:r>
    </w:p>
    <w:p w14:paraId="27814460">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赣江流域径流主要由降水产生，径流在地区上的分布与降水量的地区分布基本一致。多年平均径流深度为900～1000 mm。流域的周边山区为径流的高值区，宁都、芦溪、宜丰、牛头山等地多年平均径流深大于1000 mm。从周边山区向流域中部径流深递减，外洲站多年平均径流深837.6 mm。</w:t>
      </w:r>
    </w:p>
    <w:p w14:paraId="2528D5E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在南昌县境内赣江上下两段河长共49 km；径流面积461.85 km</w:t>
      </w:r>
      <w:r>
        <w:rPr>
          <w:rFonts w:hint="eastAsia" w:ascii="仿宋_GB2312" w:hAnsi="仿宋_GB2312" w:eastAsia="仿宋_GB2312" w:cs="仿宋_GB2312"/>
          <w:sz w:val="32"/>
          <w:szCs w:val="32"/>
          <w:highlight w:val="none"/>
          <w:vertAlign w:val="superscript"/>
        </w:rPr>
        <w:t>2</w:t>
      </w:r>
      <w:r>
        <w:rPr>
          <w:rFonts w:hint="eastAsia" w:ascii="仿宋_GB2312" w:hAnsi="仿宋_GB2312" w:eastAsia="仿宋_GB2312" w:cs="仿宋_GB2312"/>
          <w:sz w:val="32"/>
          <w:szCs w:val="32"/>
          <w:highlight w:val="none"/>
        </w:rPr>
        <w:t>。赣江自丰城大港口流入南昌县广福镇万家洲村油榨背，经市汊过龙王庙大桥，其间有锦河水注入，折东北至南岗、店前、寺前、大房、西头，于新洲进入南昌市区：经生米大桥、南昌大桥，流至八一桥转向东北，于扬子洲尾入南昌县南新乡孙洲头，至芦洲入新建区樵舍。</w:t>
      </w:r>
    </w:p>
    <w:p w14:paraId="2AA25C74">
      <w:pPr>
        <w:pageBreakBefore w:val="0"/>
        <w:widowControl w:val="0"/>
        <w:kinsoku/>
        <w:wordWrap/>
        <w:overflowPunct/>
        <w:topLinePunct w:val="0"/>
        <w:autoSpaceDE/>
        <w:autoSpaceDN/>
        <w:bidi w:val="0"/>
        <w:adjustRightInd/>
        <w:snapToGrid/>
        <w:spacing w:line="560" w:lineRule="exact"/>
        <w:ind w:left="240" w:leftChars="10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南昌县境内赣江特性：河面宽，洪水期1500</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1600 m，枯水期500</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600 m，一般700</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800 m：河床纵坡0.102%；水深，枯水深1.8</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3.3 m，洪水深11.5</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12.5 m；最高洪水位28.38 m，最枯水位17.8</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18.3 m；洪水最大流速2.2 m/s，枯水最小流速0.26</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0.49 m/s。</w:t>
      </w:r>
    </w:p>
    <w:p w14:paraId="31C192B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（2）抚河</w:t>
      </w:r>
    </w:p>
    <w:p w14:paraId="6A25BE95">
      <w:pPr>
        <w:pageBreakBefore w:val="0"/>
        <w:widowControl w:val="0"/>
        <w:kinsoku/>
        <w:wordWrap/>
        <w:overflowPunct/>
        <w:topLinePunct w:val="0"/>
        <w:autoSpaceDE/>
        <w:autoSpaceDN/>
        <w:bidi w:val="0"/>
        <w:adjustRightInd/>
        <w:snapToGrid/>
        <w:spacing w:line="560" w:lineRule="exact"/>
        <w:ind w:left="240" w:leftChars="10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抚河是江西省第二大河流，地跨东经115°30′-117°10'，北纬26°30-28°37'。主河道源于赣、闽边界武夷山西麓广昌县梨木庄，河流自南向北，流经广昌、南丰、南城、右汇黎滩河经浒湾进入下游平原，至抚州左纳抚河最大支流临水，西北向流经南昌县境，流经黄马、向塘，在武阳镇荏港改道流入青岚湖。</w:t>
      </w:r>
    </w:p>
    <w:p w14:paraId="450D4700">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抚河主河道长278 km，李家渡水文站断面以上流域面积15811km</w:t>
      </w:r>
      <w:r>
        <w:rPr>
          <w:rFonts w:hint="eastAsia" w:ascii="仿宋_GB2312" w:hAnsi="仿宋_GB2312" w:eastAsia="仿宋_GB2312" w:cs="仿宋_GB2312"/>
          <w:sz w:val="32"/>
          <w:szCs w:val="32"/>
          <w:highlight w:val="none"/>
          <w:vertAlign w:val="superscript"/>
        </w:rPr>
        <w:t>2</w:t>
      </w:r>
      <w:r>
        <w:rPr>
          <w:rFonts w:hint="eastAsia" w:ascii="仿宋_GB2312" w:hAnsi="仿宋_GB2312" w:eastAsia="仿宋_GB2312" w:cs="仿宋_GB2312"/>
          <w:sz w:val="32"/>
          <w:szCs w:val="32"/>
          <w:highlight w:val="none"/>
        </w:rPr>
        <w:t>。在南昌县境内河长70km，径流面积122.9km</w:t>
      </w:r>
      <w:r>
        <w:rPr>
          <w:rFonts w:hint="eastAsia" w:ascii="仿宋_GB2312" w:hAnsi="仿宋_GB2312" w:eastAsia="仿宋_GB2312" w:cs="仿宋_GB2312"/>
          <w:sz w:val="32"/>
          <w:szCs w:val="32"/>
          <w:highlight w:val="none"/>
          <w:vertAlign w:val="superscript"/>
        </w:rPr>
        <w:t>2</w:t>
      </w:r>
      <w:r>
        <w:rPr>
          <w:rFonts w:hint="eastAsia" w:ascii="仿宋_GB2312" w:hAnsi="仿宋_GB2312" w:eastAsia="仿宋_GB2312" w:cs="仿宋_GB2312"/>
          <w:sz w:val="32"/>
          <w:szCs w:val="32"/>
          <w:highlight w:val="none"/>
        </w:rPr>
        <w:t>。</w:t>
      </w:r>
    </w:p>
    <w:p w14:paraId="2969A1E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抚河流域径流补给来源主要为降水，以李家渡水文站为控制，抚河流域多年平均径流深为809.5mm；最小年径流出现在1963年，其年径流深为232.7mm；最大年径流出现在1954年，其年径流深为1622.6mm。径流的年内分配极不均匀，主汛期4</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6月份来水占全年总量的48%以上，枯水期10月～次年2月来水只占全年来水量的17.8%～21.4%。</w:t>
      </w:r>
    </w:p>
    <w:p w14:paraId="547582D2">
      <w:pPr>
        <w:pageBreakBefore w:val="0"/>
        <w:widowControl w:val="0"/>
        <w:kinsoku/>
        <w:wordWrap/>
        <w:overflowPunct/>
        <w:topLinePunct w:val="0"/>
        <w:autoSpaceDE/>
        <w:autoSpaceDN/>
        <w:bidi w:val="0"/>
        <w:adjustRightInd/>
        <w:snapToGrid/>
        <w:spacing w:line="560" w:lineRule="exact"/>
        <w:ind w:left="240" w:leftChars="10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南昌县境内抚河特性：河面宽，最大洪水时宽800</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900 m，一般500</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600 m；河床纵坡0.145%；最大洪水流速2.26 m</w:t>
      </w:r>
      <w:r>
        <w:rPr>
          <w:rFonts w:hint="eastAsia" w:ascii="仿宋_GB2312" w:hAnsi="仿宋_GB2312" w:eastAsia="仿宋_GB2312" w:cs="仿宋_GB2312"/>
          <w:sz w:val="32"/>
          <w:szCs w:val="32"/>
          <w:highlight w:val="none"/>
          <w:vertAlign w:val="superscript"/>
        </w:rPr>
        <w:t>3</w:t>
      </w:r>
      <w:r>
        <w:rPr>
          <w:rFonts w:hint="eastAsia" w:ascii="仿宋_GB2312" w:hAnsi="仿宋_GB2312" w:eastAsia="仿宋_GB2312" w:cs="仿宋_GB2312"/>
          <w:sz w:val="32"/>
          <w:szCs w:val="32"/>
          <w:highlight w:val="none"/>
        </w:rPr>
        <w:t>/s，平均流速1.6m/s，枯水最小流速0.2205m</w:t>
      </w:r>
      <w:r>
        <w:rPr>
          <w:rFonts w:hint="eastAsia" w:ascii="仿宋_GB2312" w:hAnsi="仿宋_GB2312" w:eastAsia="仿宋_GB2312" w:cs="仿宋_GB2312"/>
          <w:sz w:val="32"/>
          <w:szCs w:val="32"/>
          <w:highlight w:val="none"/>
          <w:vertAlign w:val="superscript"/>
        </w:rPr>
        <w:t>3</w:t>
      </w:r>
      <w:r>
        <w:rPr>
          <w:rFonts w:hint="eastAsia" w:ascii="仿宋_GB2312" w:hAnsi="仿宋_GB2312" w:eastAsia="仿宋_GB2312" w:cs="仿宋_GB2312"/>
          <w:sz w:val="32"/>
          <w:szCs w:val="32"/>
          <w:highlight w:val="none"/>
        </w:rPr>
        <w:t>/s。</w:t>
      </w:r>
    </w:p>
    <w:p w14:paraId="1E9A33E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（3）清丰山溪</w:t>
      </w:r>
    </w:p>
    <w:p w14:paraId="1CC593D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清丰山溪位于江西省中部，是直接入鄱阳湖的众小河流之一。清丰山溪是樟树市、丰城市境多条河道的合流，于南昌县境广福镇汇入原舒家湾河，串入象湖平原。1959年关家堵河，自南昌县上洲李至岗前新开7km的排洪道，导河水于岗前滚水坝下与赣抚平原渠系来水汇合，经由棠墅港抚河故道八字脑入鄱阳湖，主河道长度111.0 km。南昌县境内清丰山溪水系复杂，河网纵横交错。</w:t>
      </w:r>
    </w:p>
    <w:p w14:paraId="3E28D586">
      <w:pPr>
        <w:ind w:left="0" w:leftChars="0" w:firstLine="0" w:firstLineChars="0"/>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drawing>
          <wp:inline distT="0" distB="0" distL="0" distR="0">
            <wp:extent cx="3644900" cy="4911725"/>
            <wp:effectExtent l="0" t="0" r="12700" b="10795"/>
            <wp:docPr id="458343543" name="图片 2" descr="C:/Users/Administrator/Desktop/微信图片_20251223170949_576_39.jpg微信图片_20251223170949_576_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343543" name="图片 2" descr="C:/Users/Administrator/Desktop/微信图片_20251223170949_576_39.jpg微信图片_20251223170949_576_39"/>
                    <pic:cNvPicPr>
                      <a:picLocks noChangeAspect="1" noChangeArrowheads="1"/>
                    </pic:cNvPicPr>
                  </pic:nvPicPr>
                  <pic:blipFill>
                    <a:blip r:embed="rId9"/>
                    <a:srcRect l="13319" t="10655" r="12008" b="18260"/>
                    <a:stretch>
                      <a:fillRect/>
                    </a:stretch>
                  </pic:blipFill>
                  <pic:spPr>
                    <a:xfrm>
                      <a:off x="0" y="0"/>
                      <a:ext cx="3644900" cy="4911725"/>
                    </a:xfrm>
                    <a:prstGeom prst="rect">
                      <a:avLst/>
                    </a:prstGeom>
                    <a:noFill/>
                    <a:ln>
                      <a:noFill/>
                    </a:ln>
                  </pic:spPr>
                </pic:pic>
              </a:graphicData>
            </a:graphic>
          </wp:inline>
        </w:drawing>
      </w:r>
    </w:p>
    <w:p w14:paraId="3F94531E">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图</w:t>
      </w:r>
      <w:r>
        <w:rPr>
          <w:rFonts w:hint="eastAsia" w:ascii="仿宋_GB2312" w:hAnsi="仿宋_GB2312" w:eastAsia="仿宋_GB2312" w:cs="仿宋_GB2312"/>
          <w:sz w:val="24"/>
          <w:szCs w:val="24"/>
          <w:highlight w:val="none"/>
        </w:rPr>
        <w:fldChar w:fldCharType="begin"/>
      </w:r>
      <w:r>
        <w:rPr>
          <w:rFonts w:hint="eastAsia" w:ascii="仿宋_GB2312" w:hAnsi="仿宋_GB2312" w:eastAsia="仿宋_GB2312" w:cs="仿宋_GB2312"/>
          <w:sz w:val="24"/>
          <w:szCs w:val="24"/>
          <w:highlight w:val="none"/>
        </w:rPr>
        <w:instrText xml:space="preserve">STYLEREF 1\s</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z w:val="24"/>
          <w:szCs w:val="24"/>
          <w:highlight w:val="none"/>
        </w:rPr>
        <w:t>2</w:t>
      </w:r>
      <w:r>
        <w:rPr>
          <w:rFonts w:hint="eastAsia" w:ascii="仿宋_GB2312" w:hAnsi="仿宋_GB2312" w:eastAsia="仿宋_GB2312" w:cs="仿宋_GB2312"/>
          <w:sz w:val="24"/>
          <w:szCs w:val="24"/>
          <w:highlight w:val="none"/>
        </w:rPr>
        <w:fldChar w:fldCharType="end"/>
      </w:r>
      <w:r>
        <w:rPr>
          <w:rFonts w:hint="eastAsia" w:ascii="仿宋_GB2312" w:hAnsi="仿宋_GB2312" w:eastAsia="仿宋_GB2312" w:cs="仿宋_GB2312"/>
          <w:sz w:val="24"/>
          <w:szCs w:val="24"/>
          <w:highlight w:val="none"/>
        </w:rPr>
        <w:noBreakHyphen/>
      </w:r>
      <w:r>
        <w:rPr>
          <w:rFonts w:hint="eastAsia" w:ascii="仿宋_GB2312" w:hAnsi="仿宋_GB2312" w:eastAsia="仿宋_GB2312" w:cs="仿宋_GB2312"/>
          <w:sz w:val="24"/>
          <w:szCs w:val="24"/>
          <w:highlight w:val="none"/>
        </w:rPr>
        <w:fldChar w:fldCharType="begin"/>
      </w:r>
      <w:r>
        <w:rPr>
          <w:rFonts w:hint="eastAsia" w:ascii="仿宋_GB2312" w:hAnsi="仿宋_GB2312" w:eastAsia="仿宋_GB2312" w:cs="仿宋_GB2312"/>
          <w:sz w:val="24"/>
          <w:szCs w:val="24"/>
          <w:highlight w:val="none"/>
        </w:rPr>
        <w:instrText xml:space="preserve">SEQ图\*ARABIC\s 1</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z w:val="24"/>
          <w:szCs w:val="24"/>
          <w:highlight w:val="none"/>
        </w:rPr>
        <w:t>1</w:t>
      </w:r>
      <w:r>
        <w:rPr>
          <w:rFonts w:hint="eastAsia" w:ascii="仿宋_GB2312" w:hAnsi="仿宋_GB2312" w:eastAsia="仿宋_GB2312" w:cs="仿宋_GB2312"/>
          <w:sz w:val="24"/>
          <w:szCs w:val="24"/>
          <w:highlight w:val="none"/>
        </w:rPr>
        <w:fldChar w:fldCharType="end"/>
      </w:r>
      <w:r>
        <w:rPr>
          <w:rFonts w:hint="eastAsia" w:ascii="仿宋_GB2312" w:hAnsi="仿宋_GB2312" w:eastAsia="仿宋_GB2312" w:cs="仿宋_GB2312"/>
          <w:sz w:val="24"/>
          <w:szCs w:val="24"/>
          <w:highlight w:val="none"/>
        </w:rPr>
        <w:t>南昌县水系分布图</w:t>
      </w:r>
    </w:p>
    <w:p w14:paraId="43F2116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清丰山溪流域夹于赣江和抚河中下游之间，西北临赣江，东南以丘陵与抚河流域分界。区域面积约3700km</w:t>
      </w:r>
      <w:r>
        <w:rPr>
          <w:rFonts w:hint="eastAsia" w:ascii="仿宋_GB2312" w:hAnsi="仿宋_GB2312" w:eastAsia="仿宋_GB2312" w:cs="仿宋_GB2312"/>
          <w:sz w:val="32"/>
          <w:szCs w:val="32"/>
          <w:highlight w:val="none"/>
          <w:vertAlign w:val="superscript"/>
        </w:rPr>
        <w:t>2</w:t>
      </w:r>
      <w:r>
        <w:rPr>
          <w:rFonts w:hint="eastAsia" w:ascii="仿宋_GB2312" w:hAnsi="仿宋_GB2312" w:eastAsia="仿宋_GB2312" w:cs="仿宋_GB2312"/>
          <w:sz w:val="32"/>
          <w:szCs w:val="32"/>
          <w:highlight w:val="none"/>
        </w:rPr>
        <w:t>，地理坐标位于东经115°30'</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116°00'，北纬27°40'</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28°20'之间。主要由芗水、丰水、秀富水、槎水、白土水和槠山水等六条支流和中下游平原圩区组成，区域内水系复杂，下游河网纵横交错，主要河道有清丰山溪排洪道和排渍道。清丰溪主流丰水发源于升华山，自南向北流至渡头与芗水汇合后，流向东北方向，并沿程汇纳秀富水、槎水、白土水和褚山水，流经岗前渡槽下接抚河故道，经棠墅港后纳莲塘排渍道、再经八字脑、在大横头注入金溪湖后入鄱阳湖。</w:t>
      </w:r>
    </w:p>
    <w:p w14:paraId="38938340">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（4）赣抚平原总干渠</w:t>
      </w:r>
    </w:p>
    <w:p w14:paraId="0E1F035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赣抚平原总干渠为人工渠道，南昌县境内渠长70 km，水源为抚河。</w:t>
      </w:r>
    </w:p>
    <w:p w14:paraId="38456CC8">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世纪50年代末至60年代初建成的江西省赣抚平原灌区，自临川区焦石进水闸经临川区大港乡、丰城市袁渡乡王家洲，经该乡傅家村流入抚支（箭江河），入口东岸为南昌县黄马乡浒坊村，经三江口、岗前、天王渡、向塘镇、莲塘、桐林铺、五干进水口。南昌县境内渠长70km。东干渠渠首位于抚河东岸东乡河汇合口下游柴埠口，西总干渠渠首位于柴埠口下游5km的焦石坝左岸，东、西干渠从抚河引水灌溉农田119.25万亩，并使抚河船舶经船闸进入赣抚运河，于市汊进入赣江，沟通赣江与抚河水运。在焦石坝下游13.8km处，于1964年在西岸建有箭江口分洪闸，设计最大分洪能力1200m</w:t>
      </w:r>
      <w:r>
        <w:rPr>
          <w:rFonts w:hint="eastAsia" w:ascii="仿宋_GB2312" w:hAnsi="仿宋_GB2312" w:eastAsia="仿宋_GB2312" w:cs="仿宋_GB2312"/>
          <w:sz w:val="32"/>
          <w:szCs w:val="32"/>
          <w:highlight w:val="none"/>
          <w:vertAlign w:val="superscript"/>
        </w:rPr>
        <w:t>3</w:t>
      </w:r>
      <w:r>
        <w:rPr>
          <w:rFonts w:hint="eastAsia" w:ascii="仿宋_GB2312" w:hAnsi="仿宋_GB2312" w:eastAsia="仿宋_GB2312" w:cs="仿宋_GB2312"/>
          <w:sz w:val="32"/>
          <w:szCs w:val="32"/>
          <w:highlight w:val="none"/>
        </w:rPr>
        <w:t>/s（因受下游岗前大坝限制，现状实际分洪流量不能超过600m</w:t>
      </w:r>
      <w:r>
        <w:rPr>
          <w:rFonts w:hint="eastAsia" w:ascii="仿宋_GB2312" w:hAnsi="仿宋_GB2312" w:eastAsia="仿宋_GB2312" w:cs="仿宋_GB2312"/>
          <w:sz w:val="32"/>
          <w:szCs w:val="32"/>
          <w:highlight w:val="none"/>
          <w:vertAlign w:val="superscript"/>
        </w:rPr>
        <w:t>3</w:t>
      </w:r>
      <w:r>
        <w:rPr>
          <w:rFonts w:hint="eastAsia" w:ascii="仿宋_GB2312" w:hAnsi="仿宋_GB2312" w:eastAsia="仿宋_GB2312" w:cs="仿宋_GB2312"/>
          <w:sz w:val="32"/>
          <w:szCs w:val="32"/>
          <w:highlight w:val="none"/>
        </w:rPr>
        <w:t>/s），作为大洪水年份临时分洪之用。由于抚河下游分汊河段多，且与清丰山溪水系相串通，水流极为紊乱。在兴建赣抚平原水利工程的同时，抚河下游干流在荏港进行人工改道，就近经青岚湖于三阳注入鄱阳湖。</w:t>
      </w:r>
    </w:p>
    <w:p w14:paraId="5A6B080D">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46" w:name="_Toc31505"/>
      <w:bookmarkStart w:id="47" w:name="_Toc27545"/>
      <w:bookmarkStart w:id="48" w:name="OLE_LINK30"/>
      <w:r>
        <w:rPr>
          <w:rFonts w:hint="eastAsia" w:ascii="楷体" w:hAnsi="楷体" w:eastAsia="楷体" w:cs="楷体"/>
          <w:sz w:val="32"/>
          <w:szCs w:val="32"/>
          <w:highlight w:val="none"/>
        </w:rPr>
        <w:t>农村供水基本情况</w:t>
      </w:r>
      <w:bookmarkEnd w:id="46"/>
      <w:bookmarkEnd w:id="47"/>
    </w:p>
    <w:bookmarkEnd w:id="48"/>
    <w:p w14:paraId="5720BAEE">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textAlignment w:val="auto"/>
        <w:rPr>
          <w:rFonts w:hint="eastAsia" w:ascii="仿宋_GB2312" w:hAnsi="仿宋_GB2312" w:eastAsia="仿宋_GB2312" w:cs="仿宋_GB2312"/>
          <w:sz w:val="32"/>
          <w:szCs w:val="32"/>
          <w:highlight w:val="none"/>
        </w:rPr>
      </w:pPr>
      <w:bookmarkStart w:id="49" w:name="_Toc26602"/>
      <w:bookmarkStart w:id="50" w:name="_Toc279846006"/>
      <w:bookmarkStart w:id="51" w:name="_Toc24369"/>
      <w:r>
        <w:rPr>
          <w:rFonts w:hint="eastAsia" w:ascii="仿宋_GB2312" w:hAnsi="仿宋_GB2312" w:eastAsia="仿宋_GB2312" w:cs="仿宋_GB2312"/>
          <w:sz w:val="32"/>
          <w:szCs w:val="32"/>
          <w:highlight w:val="none"/>
        </w:rPr>
        <w:t>规模化供水工程</w:t>
      </w:r>
      <w:bookmarkEnd w:id="49"/>
      <w:bookmarkEnd w:id="50"/>
      <w:bookmarkEnd w:id="51"/>
    </w:p>
    <w:p w14:paraId="1DB01EF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南昌县目前建成运行的规模化供水工程共有12处，总设计供水规模4</w:t>
      </w:r>
      <w:r>
        <w:rPr>
          <w:rFonts w:hint="eastAsia" w:ascii="仿宋_GB2312" w:hAnsi="仿宋_GB2312" w:eastAsia="仿宋_GB2312" w:cs="仿宋_GB2312"/>
          <w:sz w:val="32"/>
          <w:szCs w:val="32"/>
          <w:highlight w:val="none"/>
          <w:lang w:val="en-US" w:eastAsia="zh-CN"/>
        </w:rPr>
        <w:t>50500</w:t>
      </w:r>
      <w:r>
        <w:rPr>
          <w:rFonts w:hint="eastAsia" w:ascii="仿宋_GB2312" w:hAnsi="仿宋_GB2312" w:eastAsia="仿宋_GB2312" w:cs="仿宋_GB2312"/>
          <w:sz w:val="32"/>
          <w:szCs w:val="32"/>
          <w:highlight w:val="none"/>
        </w:rPr>
        <w:t>m³/d，覆盖供水人口963300人。</w:t>
      </w:r>
    </w:p>
    <w:p w14:paraId="08A1CAA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
          <w:woUserID w:val="1"/>
        </w:rPr>
      </w:pPr>
      <w:r>
        <w:rPr>
          <w:rFonts w:hint="eastAsia" w:ascii="仿宋_GB2312" w:hAnsi="仿宋_GB2312" w:eastAsia="仿宋_GB2312" w:cs="仿宋_GB2312"/>
          <w:sz w:val="32"/>
          <w:szCs w:val="32"/>
          <w:highlight w:val="none"/>
        </w:rPr>
        <w:t>其中，县城水厂2处（昌南水厂与莲塘水厂，设计供水规模310000 m³/d，覆盖供水人口550000人，其中覆盖农村人口约197000人）</w:t>
      </w:r>
      <w:r>
        <w:rPr>
          <w:rFonts w:hint="eastAsia" w:ascii="仿宋_GB2312" w:hAnsi="仿宋_GB2312" w:eastAsia="仿宋_GB2312" w:cs="仿宋_GB2312"/>
          <w:sz w:val="32"/>
          <w:szCs w:val="32"/>
          <w:highlight w:val="none"/>
          <w:lang w:eastAsia="zh"/>
          <w:woUserID w:val="1"/>
        </w:rPr>
        <w:t>。</w:t>
      </w:r>
    </w:p>
    <w:p w14:paraId="41E7E3A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农村集中供水工程10处。冈上水厂（设计供水规模5000m³/d，覆盖供水人口10000人）、南新水厂（设计供水规模25000m³/d，覆盖供水人口88600人）、塘南水厂（设计供水规模10000m³/d，覆盖供水人口50800人）、泾口水厂（设计供水规模1</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000m³/d，覆盖供水人口69000人）、幽兰水厂（设计供水规模5000m³/d，覆盖供水人口30000人）、武阳水厂（设计供水规模5000m³/d，覆盖供水人口63000人）、黄马水厂（设计供水规模4500m³/d，覆盖供水人口38900人）、向塘水厂（设计供水规模50000m³/d，覆盖供水人口38000人）、向塘铁路水厂（设计供水规模20000m³/d，覆盖供水人口20000人）、三江水厂（设计供水规模4000m³/d，覆盖供水人口5000人）。</w:t>
      </w:r>
    </w:p>
    <w:p w14:paraId="78152A9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bookmarkStart w:id="52" w:name="OLE_LINK9"/>
      <w:r>
        <w:rPr>
          <w:rFonts w:hint="eastAsia" w:ascii="仿宋_GB2312" w:hAnsi="仿宋_GB2312" w:eastAsia="仿宋_GB2312" w:cs="仿宋_GB2312"/>
          <w:sz w:val="32"/>
          <w:szCs w:val="32"/>
          <w:highlight w:val="none"/>
        </w:rPr>
        <w:t>水厂运营管理单位共有4个，分别为江西粤海公用事业集团有限公司（7处农村水厂：冈上水厂、南新水厂、塘南水厂、泾口水厂、幽兰水厂、武阳水厂、黄马水厂；2处县城水厂：昌南水厂、莲塘水厂）、</w:t>
      </w:r>
      <w:r>
        <w:rPr>
          <w:rFonts w:hint="eastAsia" w:ascii="仿宋_GB2312" w:hAnsi="仿宋_GB2312" w:eastAsia="仿宋_GB2312" w:cs="仿宋_GB2312"/>
          <w:sz w:val="32"/>
          <w:szCs w:val="32"/>
          <w:highlight w:val="none"/>
          <w:lang w:eastAsia="zh-CN"/>
        </w:rPr>
        <w:t>南昌县水投向塘供水有限公司</w:t>
      </w:r>
      <w:r>
        <w:rPr>
          <w:rFonts w:hint="eastAsia" w:ascii="仿宋_GB2312" w:hAnsi="仿宋_GB2312" w:eastAsia="仿宋_GB2312" w:cs="仿宋_GB2312"/>
          <w:sz w:val="32"/>
          <w:szCs w:val="32"/>
          <w:highlight w:val="none"/>
        </w:rPr>
        <w:t>（1处：向塘铁路水厂）、</w:t>
      </w:r>
      <w:r>
        <w:rPr>
          <w:rFonts w:hint="eastAsia" w:ascii="仿宋_GB2312" w:hAnsi="仿宋_GB2312" w:eastAsia="仿宋_GB2312" w:cs="仿宋_GB2312"/>
          <w:sz w:val="32"/>
          <w:szCs w:val="32"/>
          <w:highlight w:val="none"/>
          <w:lang w:val="en-US" w:eastAsia="zh-CN"/>
        </w:rPr>
        <w:t>私营</w:t>
      </w:r>
      <w:r>
        <w:rPr>
          <w:rFonts w:hint="eastAsia" w:ascii="仿宋_GB2312" w:hAnsi="仿宋_GB2312" w:eastAsia="仿宋_GB2312" w:cs="仿宋_GB2312"/>
          <w:sz w:val="32"/>
          <w:szCs w:val="32"/>
          <w:highlight w:val="none"/>
        </w:rPr>
        <w:t>（2处：向塘水厂、三江水厂）。</w:t>
      </w:r>
      <w:bookmarkEnd w:id="52"/>
      <w:r>
        <w:rPr>
          <w:rFonts w:hint="eastAsia" w:ascii="仿宋_GB2312" w:hAnsi="仿宋_GB2312" w:eastAsia="仿宋_GB2312" w:cs="仿宋_GB2312"/>
          <w:sz w:val="32"/>
          <w:szCs w:val="32"/>
          <w:highlight w:val="none"/>
        </w:rPr>
        <w:t>南昌县现状供水工程及供水分区基本情况详见</w:t>
      </w: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REF_Ref197877446\h\*MERGEFORMAT</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表2</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sz w:val="32"/>
          <w:szCs w:val="32"/>
          <w:highlight w:val="none"/>
        </w:rPr>
        <w:t>。</w:t>
      </w:r>
    </w:p>
    <w:p w14:paraId="5F11155D">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规模化供水工程已经全部覆盖南昌县城镇地区及大部分农村地区，其中7处供水工程已纳入县域统管，属国有企业江西粤海公用事业集团有限公司进行管理，水源及取水工程、输配水工程、净水工程设施及运行管理制度较完善。</w:t>
      </w:r>
    </w:p>
    <w:p w14:paraId="2D6D7783">
      <w:pPr>
        <w:keepNext w:val="0"/>
        <w:keepLines w:val="0"/>
        <w:pageBreakBefore w:val="0"/>
        <w:widowControl w:val="0"/>
        <w:kinsoku/>
        <w:wordWrap/>
        <w:overflowPunct/>
        <w:topLinePunct w:val="0"/>
        <w:autoSpaceDE/>
        <w:autoSpaceDN/>
        <w:bidi w:val="0"/>
        <w:adjustRightInd/>
        <w:snapToGrid/>
        <w:spacing w:before="156" w:line="560" w:lineRule="exact"/>
        <w:ind w:firstLine="0" w:firstLineChars="0"/>
        <w:jc w:val="center"/>
        <w:textAlignment w:val="auto"/>
        <w:rPr>
          <w:rFonts w:hint="eastAsia" w:ascii="仿宋_GB2312" w:hAnsi="仿宋_GB2312" w:eastAsia="仿宋_GB2312" w:cs="仿宋_GB2312"/>
          <w:sz w:val="24"/>
          <w:szCs w:val="24"/>
          <w:highlight w:val="none"/>
        </w:rPr>
      </w:pPr>
      <w:bookmarkStart w:id="53" w:name="_Ref197877446"/>
      <w:bookmarkStart w:id="54" w:name="_Ref100756910"/>
      <w:r>
        <w:rPr>
          <w:rFonts w:hint="eastAsia" w:ascii="仿宋_GB2312" w:hAnsi="仿宋_GB2312" w:eastAsia="仿宋_GB2312" w:cs="仿宋_GB2312"/>
          <w:sz w:val="24"/>
          <w:szCs w:val="24"/>
          <w:highlight w:val="none"/>
        </w:rPr>
        <w:t>表</w:t>
      </w:r>
      <w:r>
        <w:rPr>
          <w:rFonts w:hint="eastAsia" w:ascii="仿宋_GB2312" w:hAnsi="仿宋_GB2312" w:eastAsia="仿宋_GB2312" w:cs="仿宋_GB2312"/>
          <w:sz w:val="24"/>
          <w:szCs w:val="24"/>
          <w:highlight w:val="none"/>
        </w:rPr>
        <w:fldChar w:fldCharType="begin"/>
      </w:r>
      <w:r>
        <w:rPr>
          <w:rFonts w:hint="eastAsia" w:ascii="仿宋_GB2312" w:hAnsi="仿宋_GB2312" w:eastAsia="仿宋_GB2312" w:cs="仿宋_GB2312"/>
          <w:sz w:val="24"/>
          <w:szCs w:val="24"/>
          <w:highlight w:val="none"/>
        </w:rPr>
        <w:instrText xml:space="preserve">STYLEREF 1\s</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z w:val="24"/>
          <w:szCs w:val="24"/>
          <w:highlight w:val="none"/>
        </w:rPr>
        <w:t>2</w:t>
      </w:r>
      <w:r>
        <w:rPr>
          <w:rFonts w:hint="eastAsia" w:ascii="仿宋_GB2312" w:hAnsi="仿宋_GB2312" w:eastAsia="仿宋_GB2312" w:cs="仿宋_GB2312"/>
          <w:sz w:val="24"/>
          <w:szCs w:val="24"/>
          <w:highlight w:val="none"/>
        </w:rPr>
        <w:fldChar w:fldCharType="end"/>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sz w:val="24"/>
          <w:szCs w:val="24"/>
          <w:highlight w:val="none"/>
        </w:rPr>
        <w:fldChar w:fldCharType="begin"/>
      </w:r>
      <w:r>
        <w:rPr>
          <w:rFonts w:hint="eastAsia" w:ascii="仿宋_GB2312" w:hAnsi="仿宋_GB2312" w:eastAsia="仿宋_GB2312" w:cs="仿宋_GB2312"/>
          <w:sz w:val="24"/>
          <w:szCs w:val="24"/>
          <w:highlight w:val="none"/>
        </w:rPr>
        <w:instrText xml:space="preserve">SEQ表\*ARABIC\s 1</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z w:val="24"/>
          <w:szCs w:val="24"/>
          <w:highlight w:val="none"/>
        </w:rPr>
        <w:t>1</w:t>
      </w:r>
      <w:r>
        <w:rPr>
          <w:rFonts w:hint="eastAsia" w:ascii="仿宋_GB2312" w:hAnsi="仿宋_GB2312" w:eastAsia="仿宋_GB2312" w:cs="仿宋_GB2312"/>
          <w:sz w:val="24"/>
          <w:szCs w:val="24"/>
          <w:highlight w:val="none"/>
        </w:rPr>
        <w:fldChar w:fldCharType="end"/>
      </w:r>
      <w:bookmarkEnd w:id="53"/>
      <w:r>
        <w:rPr>
          <w:rFonts w:hint="eastAsia" w:ascii="仿宋_GB2312" w:hAnsi="仿宋_GB2312" w:eastAsia="仿宋_GB2312" w:cs="仿宋_GB2312"/>
          <w:sz w:val="24"/>
          <w:szCs w:val="24"/>
          <w:highlight w:val="none"/>
        </w:rPr>
        <w:t>南昌县现状供水分区及自来水厂基本情况</w:t>
      </w:r>
      <w:bookmarkEnd w:id="54"/>
    </w:p>
    <w:p w14:paraId="5B8EB78D">
      <w:pPr>
        <w:keepNext w:val="0"/>
        <w:keepLines w:val="0"/>
        <w:pageBreakBefore w:val="0"/>
        <w:widowControl w:val="0"/>
        <w:kinsoku/>
        <w:wordWrap/>
        <w:overflowPunct/>
        <w:topLinePunct w:val="0"/>
        <w:autoSpaceDE/>
        <w:autoSpaceDN/>
        <w:bidi w:val="0"/>
        <w:adjustRightInd/>
        <w:snapToGrid/>
        <w:spacing w:line="560" w:lineRule="exact"/>
        <w:ind w:firstLine="480"/>
        <w:jc w:val="right"/>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单位：人口</w:t>
      </w:r>
      <w:r>
        <w:rPr>
          <w:rFonts w:hint="eastAsia" w:ascii="仿宋_GB2312" w:hAnsi="仿宋_GB2312" w:eastAsia="仿宋_GB2312" w:cs="仿宋_GB2312"/>
          <w:sz w:val="24"/>
          <w:szCs w:val="24"/>
          <w:highlight w:val="none"/>
          <w:woUserID w:val="1"/>
        </w:rPr>
        <w:t>-</w:t>
      </w:r>
      <w:r>
        <w:rPr>
          <w:rFonts w:hint="eastAsia" w:ascii="仿宋_GB2312" w:hAnsi="仿宋_GB2312" w:eastAsia="仿宋_GB2312" w:cs="仿宋_GB2312"/>
          <w:sz w:val="24"/>
          <w:szCs w:val="24"/>
          <w:highlight w:val="none"/>
        </w:rPr>
        <w:t>万人；水量-万m</w:t>
      </w:r>
      <w:r>
        <w:rPr>
          <w:rFonts w:hint="eastAsia" w:ascii="仿宋_GB2312" w:hAnsi="仿宋_GB2312" w:eastAsia="仿宋_GB2312" w:cs="仿宋_GB2312"/>
          <w:sz w:val="24"/>
          <w:szCs w:val="24"/>
          <w:highlight w:val="none"/>
          <w:vertAlign w:val="superscript"/>
        </w:rPr>
        <w:t>3</w:t>
      </w:r>
      <w:r>
        <w:rPr>
          <w:rFonts w:hint="eastAsia" w:ascii="仿宋_GB2312" w:hAnsi="仿宋_GB2312" w:eastAsia="仿宋_GB2312" w:cs="仿宋_GB2312"/>
          <w:sz w:val="24"/>
          <w:szCs w:val="24"/>
          <w:highlight w:val="none"/>
        </w:rPr>
        <w:t>/d</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96"/>
        <w:gridCol w:w="1345"/>
        <w:gridCol w:w="1052"/>
        <w:gridCol w:w="1683"/>
        <w:gridCol w:w="716"/>
        <w:gridCol w:w="873"/>
        <w:gridCol w:w="992"/>
        <w:gridCol w:w="1105"/>
      </w:tblGrid>
      <w:tr w14:paraId="6039B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2" w:hRule="atLeast"/>
          <w:tblHeader/>
          <w:jc w:val="center"/>
        </w:trPr>
        <w:tc>
          <w:tcPr>
            <w:tcW w:w="356" w:type="pct"/>
            <w:vAlign w:val="center"/>
          </w:tcPr>
          <w:p w14:paraId="0D2489B2">
            <w:pPr>
              <w:spacing w:line="240" w:lineRule="auto"/>
              <w:ind w:firstLine="0" w:firstLineChars="0"/>
              <w:jc w:val="center"/>
              <w:rPr>
                <w:rFonts w:hint="eastAsia" w:ascii="仿宋_GB2312" w:hAnsi="仿宋_GB2312" w:eastAsia="仿宋_GB2312" w:cs="仿宋_GB2312"/>
                <w:b/>
                <w:bCs/>
                <w:sz w:val="24"/>
                <w:szCs w:val="24"/>
                <w:highlight w:val="none"/>
              </w:rPr>
            </w:pPr>
            <w:bookmarkStart w:id="55" w:name="OLE_LINK35"/>
            <w:r>
              <w:rPr>
                <w:rFonts w:hint="eastAsia" w:ascii="仿宋_GB2312" w:hAnsi="仿宋_GB2312" w:eastAsia="仿宋_GB2312" w:cs="仿宋_GB2312"/>
                <w:b/>
                <w:bCs/>
                <w:sz w:val="24"/>
                <w:szCs w:val="24"/>
                <w:highlight w:val="none"/>
              </w:rPr>
              <w:t>序号</w:t>
            </w:r>
          </w:p>
        </w:tc>
        <w:tc>
          <w:tcPr>
            <w:tcW w:w="804" w:type="pct"/>
            <w:vAlign w:val="center"/>
          </w:tcPr>
          <w:p w14:paraId="4DC3339A">
            <w:pPr>
              <w:spacing w:line="240" w:lineRule="auto"/>
              <w:ind w:firstLine="0" w:firstLineChars="0"/>
              <w:jc w:val="cente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水厂</w:t>
            </w:r>
          </w:p>
        </w:tc>
        <w:tc>
          <w:tcPr>
            <w:tcW w:w="629" w:type="pct"/>
            <w:vAlign w:val="center"/>
          </w:tcPr>
          <w:p w14:paraId="549F6ECA">
            <w:pPr>
              <w:spacing w:line="240" w:lineRule="auto"/>
              <w:ind w:firstLine="0" w:firstLineChars="0"/>
              <w:jc w:val="cente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水源</w:t>
            </w:r>
          </w:p>
        </w:tc>
        <w:tc>
          <w:tcPr>
            <w:tcW w:w="1005" w:type="pct"/>
            <w:vAlign w:val="center"/>
          </w:tcPr>
          <w:p w14:paraId="036A1F0B">
            <w:pPr>
              <w:spacing w:line="240" w:lineRule="auto"/>
              <w:ind w:firstLine="0" w:firstLineChars="0"/>
              <w:jc w:val="cente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供水乡镇</w:t>
            </w:r>
          </w:p>
        </w:tc>
        <w:tc>
          <w:tcPr>
            <w:tcW w:w="428" w:type="pct"/>
            <w:vAlign w:val="center"/>
          </w:tcPr>
          <w:p w14:paraId="19358C71">
            <w:pPr>
              <w:spacing w:line="240" w:lineRule="auto"/>
              <w:ind w:firstLine="0" w:firstLineChars="0"/>
              <w:jc w:val="cente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服务人口</w:t>
            </w:r>
          </w:p>
        </w:tc>
        <w:tc>
          <w:tcPr>
            <w:tcW w:w="522" w:type="pct"/>
            <w:vAlign w:val="center"/>
          </w:tcPr>
          <w:p w14:paraId="36597B4E">
            <w:pPr>
              <w:spacing w:line="240" w:lineRule="auto"/>
              <w:ind w:firstLine="0" w:firstLineChars="0"/>
              <w:jc w:val="cente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设计供水量</w:t>
            </w:r>
          </w:p>
        </w:tc>
        <w:tc>
          <w:tcPr>
            <w:tcW w:w="593" w:type="pct"/>
            <w:vAlign w:val="center"/>
          </w:tcPr>
          <w:p w14:paraId="21DC3847">
            <w:pPr>
              <w:spacing w:line="240" w:lineRule="auto"/>
              <w:ind w:firstLine="0" w:firstLineChars="0"/>
              <w:jc w:val="cente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实际供水量</w:t>
            </w:r>
          </w:p>
        </w:tc>
        <w:tc>
          <w:tcPr>
            <w:tcW w:w="660" w:type="pct"/>
            <w:vAlign w:val="center"/>
          </w:tcPr>
          <w:p w14:paraId="1867C693">
            <w:pPr>
              <w:spacing w:line="240" w:lineRule="auto"/>
              <w:ind w:firstLine="0" w:firstLineChars="0"/>
              <w:jc w:val="cente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管理单位</w:t>
            </w:r>
          </w:p>
        </w:tc>
      </w:tr>
      <w:tr w14:paraId="4DE1C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8" w:hRule="atLeast"/>
          <w:jc w:val="center"/>
        </w:trPr>
        <w:tc>
          <w:tcPr>
            <w:tcW w:w="356" w:type="pct"/>
            <w:vAlign w:val="center"/>
          </w:tcPr>
          <w:p w14:paraId="20A8BF0C">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w:t>
            </w:r>
          </w:p>
        </w:tc>
        <w:tc>
          <w:tcPr>
            <w:tcW w:w="804" w:type="pct"/>
            <w:vAlign w:val="center"/>
          </w:tcPr>
          <w:p w14:paraId="04B5FF03">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昌南水厂</w:t>
            </w:r>
          </w:p>
        </w:tc>
        <w:tc>
          <w:tcPr>
            <w:tcW w:w="629" w:type="pct"/>
            <w:vAlign w:val="center"/>
          </w:tcPr>
          <w:p w14:paraId="5504CCC9">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赣江</w:t>
            </w:r>
          </w:p>
        </w:tc>
        <w:tc>
          <w:tcPr>
            <w:tcW w:w="1005" w:type="pct"/>
            <w:vMerge w:val="restart"/>
            <w:vAlign w:val="center"/>
          </w:tcPr>
          <w:p w14:paraId="34312BCA">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莲塘街道、小蓝经济开发区、八一乡、富山乡、东新乡</w:t>
            </w:r>
          </w:p>
        </w:tc>
        <w:tc>
          <w:tcPr>
            <w:tcW w:w="428" w:type="pct"/>
            <w:vMerge w:val="restart"/>
            <w:vAlign w:val="center"/>
          </w:tcPr>
          <w:p w14:paraId="5D69A605">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55</w:t>
            </w:r>
          </w:p>
        </w:tc>
        <w:tc>
          <w:tcPr>
            <w:tcW w:w="522" w:type="pct"/>
            <w:vAlign w:val="center"/>
          </w:tcPr>
          <w:p w14:paraId="3912EC27">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25.0</w:t>
            </w:r>
          </w:p>
        </w:tc>
        <w:tc>
          <w:tcPr>
            <w:tcW w:w="593" w:type="pct"/>
            <w:vAlign w:val="center"/>
          </w:tcPr>
          <w:p w14:paraId="25FA61F2">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22.0</w:t>
            </w:r>
          </w:p>
        </w:tc>
        <w:tc>
          <w:tcPr>
            <w:tcW w:w="660" w:type="pct"/>
            <w:vMerge w:val="restart"/>
            <w:vAlign w:val="center"/>
          </w:tcPr>
          <w:p w14:paraId="118C4939">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江西粤海公用事业集团有限公司</w:t>
            </w:r>
          </w:p>
        </w:tc>
      </w:tr>
      <w:tr w14:paraId="4E025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7" w:hRule="atLeast"/>
          <w:jc w:val="center"/>
        </w:trPr>
        <w:tc>
          <w:tcPr>
            <w:tcW w:w="356" w:type="pct"/>
            <w:vAlign w:val="center"/>
          </w:tcPr>
          <w:p w14:paraId="6AAA80FE">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w:t>
            </w:r>
          </w:p>
        </w:tc>
        <w:tc>
          <w:tcPr>
            <w:tcW w:w="804" w:type="pct"/>
            <w:vAlign w:val="center"/>
          </w:tcPr>
          <w:p w14:paraId="2A2379ED">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莲塘水厂</w:t>
            </w:r>
          </w:p>
        </w:tc>
        <w:tc>
          <w:tcPr>
            <w:tcW w:w="629" w:type="pct"/>
            <w:vAlign w:val="center"/>
          </w:tcPr>
          <w:p w14:paraId="2E0930EC">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西总干渠</w:t>
            </w:r>
          </w:p>
        </w:tc>
        <w:tc>
          <w:tcPr>
            <w:tcW w:w="1005" w:type="pct"/>
            <w:vMerge w:val="continue"/>
            <w:vAlign w:val="center"/>
          </w:tcPr>
          <w:p w14:paraId="31A68D93">
            <w:pPr>
              <w:spacing w:line="240" w:lineRule="auto"/>
              <w:ind w:firstLine="0" w:firstLineChars="0"/>
              <w:jc w:val="center"/>
              <w:rPr>
                <w:rFonts w:hint="eastAsia" w:ascii="仿宋_GB2312" w:hAnsi="仿宋_GB2312" w:eastAsia="仿宋_GB2312" w:cs="仿宋_GB2312"/>
                <w:sz w:val="24"/>
                <w:szCs w:val="24"/>
                <w:highlight w:val="none"/>
              </w:rPr>
            </w:pPr>
          </w:p>
        </w:tc>
        <w:tc>
          <w:tcPr>
            <w:tcW w:w="428" w:type="pct"/>
            <w:vMerge w:val="continue"/>
            <w:vAlign w:val="center"/>
          </w:tcPr>
          <w:p w14:paraId="5D9210F3">
            <w:pPr>
              <w:spacing w:line="240" w:lineRule="auto"/>
              <w:ind w:firstLine="0" w:firstLineChars="0"/>
              <w:jc w:val="center"/>
              <w:rPr>
                <w:rFonts w:hint="eastAsia" w:ascii="仿宋_GB2312" w:hAnsi="仿宋_GB2312" w:eastAsia="仿宋_GB2312" w:cs="仿宋_GB2312"/>
                <w:sz w:val="24"/>
                <w:szCs w:val="24"/>
                <w:highlight w:val="none"/>
              </w:rPr>
            </w:pPr>
          </w:p>
        </w:tc>
        <w:tc>
          <w:tcPr>
            <w:tcW w:w="522" w:type="pct"/>
            <w:vAlign w:val="center"/>
          </w:tcPr>
          <w:p w14:paraId="47A11E3B">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6.0</w:t>
            </w:r>
          </w:p>
        </w:tc>
        <w:tc>
          <w:tcPr>
            <w:tcW w:w="593" w:type="pct"/>
            <w:vAlign w:val="center"/>
          </w:tcPr>
          <w:p w14:paraId="0B11A31D">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6</w:t>
            </w:r>
          </w:p>
        </w:tc>
        <w:tc>
          <w:tcPr>
            <w:tcW w:w="660" w:type="pct"/>
            <w:vMerge w:val="continue"/>
            <w:vAlign w:val="center"/>
          </w:tcPr>
          <w:p w14:paraId="3EAB55AB">
            <w:pPr>
              <w:spacing w:line="240" w:lineRule="auto"/>
              <w:ind w:firstLine="0" w:firstLineChars="0"/>
              <w:jc w:val="center"/>
              <w:rPr>
                <w:rFonts w:hint="eastAsia" w:ascii="仿宋_GB2312" w:hAnsi="仿宋_GB2312" w:eastAsia="仿宋_GB2312" w:cs="仿宋_GB2312"/>
                <w:sz w:val="24"/>
                <w:szCs w:val="24"/>
                <w:highlight w:val="none"/>
              </w:rPr>
            </w:pPr>
          </w:p>
        </w:tc>
      </w:tr>
      <w:tr w14:paraId="2D9CE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7" w:hRule="atLeast"/>
          <w:jc w:val="center"/>
        </w:trPr>
        <w:tc>
          <w:tcPr>
            <w:tcW w:w="356" w:type="pct"/>
            <w:vAlign w:val="center"/>
          </w:tcPr>
          <w:p w14:paraId="4B7F6001">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w:t>
            </w:r>
          </w:p>
        </w:tc>
        <w:tc>
          <w:tcPr>
            <w:tcW w:w="804" w:type="pct"/>
            <w:vAlign w:val="center"/>
          </w:tcPr>
          <w:p w14:paraId="7092E525">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银三角水厂</w:t>
            </w:r>
          </w:p>
        </w:tc>
        <w:tc>
          <w:tcPr>
            <w:tcW w:w="629" w:type="pct"/>
            <w:vAlign w:val="center"/>
          </w:tcPr>
          <w:p w14:paraId="4E6DB407">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西总干渠</w:t>
            </w:r>
          </w:p>
        </w:tc>
        <w:tc>
          <w:tcPr>
            <w:tcW w:w="1005" w:type="pct"/>
            <w:vAlign w:val="center"/>
          </w:tcPr>
          <w:p w14:paraId="61A0467C">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银三角街道、武阳镇、塔城乡、向塘镇北部、冈上镇黄台村</w:t>
            </w:r>
          </w:p>
        </w:tc>
        <w:tc>
          <w:tcPr>
            <w:tcW w:w="428" w:type="pct"/>
            <w:vAlign w:val="center"/>
          </w:tcPr>
          <w:p w14:paraId="5CBCE9FF">
            <w:pPr>
              <w:spacing w:line="240" w:lineRule="auto"/>
              <w:ind w:firstLine="0" w:firstLineChars="0"/>
              <w:jc w:val="center"/>
              <w:rPr>
                <w:rFonts w:hint="eastAsia" w:ascii="仿宋_GB2312" w:hAnsi="仿宋_GB2312" w:eastAsia="仿宋_GB2312" w:cs="仿宋_GB2312"/>
                <w:sz w:val="24"/>
                <w:szCs w:val="24"/>
                <w:highlight w:val="none"/>
              </w:rPr>
            </w:pPr>
          </w:p>
        </w:tc>
        <w:tc>
          <w:tcPr>
            <w:tcW w:w="522" w:type="pct"/>
            <w:vAlign w:val="center"/>
          </w:tcPr>
          <w:p w14:paraId="5669CB81">
            <w:pPr>
              <w:spacing w:line="240" w:lineRule="auto"/>
              <w:ind w:firstLine="0" w:firstLineChars="0"/>
              <w:jc w:val="cente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10.0</w:t>
            </w:r>
          </w:p>
          <w:p w14:paraId="33B0F4F9">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sz w:val="24"/>
                <w:szCs w:val="24"/>
                <w:highlight w:val="none"/>
              </w:rPr>
              <w:t>（在建）</w:t>
            </w:r>
          </w:p>
        </w:tc>
        <w:tc>
          <w:tcPr>
            <w:tcW w:w="593" w:type="pct"/>
            <w:vAlign w:val="center"/>
          </w:tcPr>
          <w:p w14:paraId="26B2B785">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0</w:t>
            </w:r>
          </w:p>
        </w:tc>
        <w:tc>
          <w:tcPr>
            <w:tcW w:w="660" w:type="pct"/>
            <w:vMerge w:val="continue"/>
            <w:vAlign w:val="center"/>
          </w:tcPr>
          <w:p w14:paraId="31373299">
            <w:pPr>
              <w:spacing w:line="240" w:lineRule="auto"/>
              <w:ind w:firstLine="0" w:firstLineChars="0"/>
              <w:jc w:val="center"/>
              <w:rPr>
                <w:rFonts w:hint="eastAsia" w:ascii="仿宋_GB2312" w:hAnsi="仿宋_GB2312" w:eastAsia="仿宋_GB2312" w:cs="仿宋_GB2312"/>
                <w:sz w:val="24"/>
                <w:szCs w:val="24"/>
                <w:highlight w:val="none"/>
              </w:rPr>
            </w:pPr>
          </w:p>
        </w:tc>
      </w:tr>
      <w:tr w14:paraId="1C8DB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87" w:hRule="atLeast"/>
          <w:jc w:val="center"/>
        </w:trPr>
        <w:tc>
          <w:tcPr>
            <w:tcW w:w="356" w:type="pct"/>
            <w:vAlign w:val="center"/>
          </w:tcPr>
          <w:p w14:paraId="76DB6571">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4</w:t>
            </w:r>
          </w:p>
        </w:tc>
        <w:tc>
          <w:tcPr>
            <w:tcW w:w="804" w:type="pct"/>
            <w:vAlign w:val="center"/>
          </w:tcPr>
          <w:p w14:paraId="59CF8E92">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冈上水厂</w:t>
            </w:r>
          </w:p>
        </w:tc>
        <w:tc>
          <w:tcPr>
            <w:tcW w:w="629" w:type="pct"/>
            <w:vAlign w:val="center"/>
          </w:tcPr>
          <w:p w14:paraId="0A9D4DE2">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赣江</w:t>
            </w:r>
          </w:p>
        </w:tc>
        <w:tc>
          <w:tcPr>
            <w:tcW w:w="1005" w:type="pct"/>
            <w:vAlign w:val="center"/>
          </w:tcPr>
          <w:p w14:paraId="4FC19E95">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冈上镇</w:t>
            </w:r>
          </w:p>
        </w:tc>
        <w:tc>
          <w:tcPr>
            <w:tcW w:w="428" w:type="pct"/>
            <w:vAlign w:val="center"/>
          </w:tcPr>
          <w:p w14:paraId="51ED9EE8">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1.0</w:t>
            </w:r>
          </w:p>
        </w:tc>
        <w:tc>
          <w:tcPr>
            <w:tcW w:w="522" w:type="pct"/>
            <w:vAlign w:val="center"/>
          </w:tcPr>
          <w:p w14:paraId="23F60FE3">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0.50</w:t>
            </w:r>
          </w:p>
        </w:tc>
        <w:tc>
          <w:tcPr>
            <w:tcW w:w="593" w:type="pct"/>
            <w:vAlign w:val="center"/>
          </w:tcPr>
          <w:p w14:paraId="31CC36A1">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0.50</w:t>
            </w:r>
          </w:p>
        </w:tc>
        <w:tc>
          <w:tcPr>
            <w:tcW w:w="660" w:type="pct"/>
            <w:vMerge w:val="continue"/>
            <w:vAlign w:val="center"/>
          </w:tcPr>
          <w:p w14:paraId="02589D0D">
            <w:pPr>
              <w:spacing w:line="240" w:lineRule="auto"/>
              <w:ind w:firstLine="0" w:firstLineChars="0"/>
              <w:jc w:val="center"/>
              <w:rPr>
                <w:rFonts w:hint="eastAsia" w:ascii="仿宋_GB2312" w:hAnsi="仿宋_GB2312" w:eastAsia="仿宋_GB2312" w:cs="仿宋_GB2312"/>
                <w:sz w:val="24"/>
                <w:szCs w:val="24"/>
                <w:highlight w:val="none"/>
              </w:rPr>
            </w:pPr>
          </w:p>
        </w:tc>
      </w:tr>
      <w:tr w14:paraId="3FBC1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8" w:hRule="atLeast"/>
          <w:jc w:val="center"/>
        </w:trPr>
        <w:tc>
          <w:tcPr>
            <w:tcW w:w="356" w:type="pct"/>
            <w:vAlign w:val="center"/>
          </w:tcPr>
          <w:p w14:paraId="03DA39F2">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5</w:t>
            </w:r>
          </w:p>
        </w:tc>
        <w:tc>
          <w:tcPr>
            <w:tcW w:w="804" w:type="pct"/>
            <w:vAlign w:val="center"/>
          </w:tcPr>
          <w:p w14:paraId="65EDA904">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南新水厂</w:t>
            </w:r>
          </w:p>
        </w:tc>
        <w:tc>
          <w:tcPr>
            <w:tcW w:w="629" w:type="pct"/>
            <w:vAlign w:val="center"/>
          </w:tcPr>
          <w:p w14:paraId="6979EFD1">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赣江中支</w:t>
            </w:r>
          </w:p>
        </w:tc>
        <w:tc>
          <w:tcPr>
            <w:tcW w:w="1005" w:type="pct"/>
            <w:vAlign w:val="center"/>
          </w:tcPr>
          <w:p w14:paraId="05F21E50">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南新乡、蒋巷镇</w:t>
            </w:r>
          </w:p>
        </w:tc>
        <w:tc>
          <w:tcPr>
            <w:tcW w:w="428" w:type="pct"/>
            <w:vAlign w:val="center"/>
          </w:tcPr>
          <w:p w14:paraId="3481A06E">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8.86</w:t>
            </w:r>
          </w:p>
        </w:tc>
        <w:tc>
          <w:tcPr>
            <w:tcW w:w="522" w:type="pct"/>
            <w:vAlign w:val="center"/>
          </w:tcPr>
          <w:p w14:paraId="6BF46CBB">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2.5</w:t>
            </w:r>
          </w:p>
        </w:tc>
        <w:tc>
          <w:tcPr>
            <w:tcW w:w="593" w:type="pct"/>
            <w:vAlign w:val="center"/>
          </w:tcPr>
          <w:p w14:paraId="1AFC3ACC">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2.11</w:t>
            </w:r>
          </w:p>
        </w:tc>
        <w:tc>
          <w:tcPr>
            <w:tcW w:w="660" w:type="pct"/>
            <w:vMerge w:val="restart"/>
            <w:vAlign w:val="center"/>
          </w:tcPr>
          <w:p w14:paraId="59685722">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kern w:val="0"/>
                <w:sz w:val="24"/>
                <w:szCs w:val="24"/>
                <w:highlight w:val="none"/>
              </w:rPr>
              <w:t>江西粤海公用事业集团有限公司</w:t>
            </w:r>
          </w:p>
          <w:p w14:paraId="12E3A7F1">
            <w:pPr>
              <w:spacing w:line="240" w:lineRule="auto"/>
              <w:ind w:firstLine="0" w:firstLineChars="0"/>
              <w:jc w:val="center"/>
              <w:rPr>
                <w:rFonts w:hint="eastAsia" w:ascii="仿宋_GB2312" w:hAnsi="仿宋_GB2312" w:eastAsia="仿宋_GB2312" w:cs="仿宋_GB2312"/>
                <w:sz w:val="24"/>
                <w:szCs w:val="24"/>
                <w:highlight w:val="none"/>
              </w:rPr>
            </w:pPr>
          </w:p>
          <w:p w14:paraId="42AE944E">
            <w:pPr>
              <w:spacing w:line="240" w:lineRule="auto"/>
              <w:ind w:firstLine="0" w:firstLineChars="0"/>
              <w:jc w:val="center"/>
              <w:rPr>
                <w:rFonts w:hint="eastAsia" w:ascii="仿宋_GB2312" w:hAnsi="仿宋_GB2312" w:eastAsia="仿宋_GB2312" w:cs="仿宋_GB2312"/>
                <w:sz w:val="24"/>
                <w:szCs w:val="24"/>
                <w:highlight w:val="none"/>
              </w:rPr>
            </w:pPr>
          </w:p>
          <w:p w14:paraId="3E7C4050">
            <w:pPr>
              <w:spacing w:line="240" w:lineRule="auto"/>
              <w:ind w:firstLine="0" w:firstLineChars="0"/>
              <w:jc w:val="center"/>
              <w:rPr>
                <w:rFonts w:hint="eastAsia" w:ascii="仿宋_GB2312" w:hAnsi="仿宋_GB2312" w:eastAsia="仿宋_GB2312" w:cs="仿宋_GB2312"/>
                <w:sz w:val="24"/>
                <w:szCs w:val="24"/>
                <w:highlight w:val="none"/>
              </w:rPr>
            </w:pPr>
          </w:p>
        </w:tc>
      </w:tr>
      <w:tr w14:paraId="44119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5" w:hRule="atLeast"/>
          <w:jc w:val="center"/>
        </w:trPr>
        <w:tc>
          <w:tcPr>
            <w:tcW w:w="356" w:type="pct"/>
            <w:vAlign w:val="center"/>
          </w:tcPr>
          <w:p w14:paraId="2ED5A16F">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6</w:t>
            </w:r>
          </w:p>
        </w:tc>
        <w:tc>
          <w:tcPr>
            <w:tcW w:w="804" w:type="pct"/>
            <w:vAlign w:val="center"/>
          </w:tcPr>
          <w:p w14:paraId="549EF4F7">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泾口水厂</w:t>
            </w:r>
          </w:p>
        </w:tc>
        <w:tc>
          <w:tcPr>
            <w:tcW w:w="629" w:type="pct"/>
            <w:vAlign w:val="center"/>
          </w:tcPr>
          <w:p w14:paraId="7128992B">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抚河故道</w:t>
            </w:r>
          </w:p>
        </w:tc>
        <w:tc>
          <w:tcPr>
            <w:tcW w:w="1005" w:type="pct"/>
            <w:vAlign w:val="center"/>
          </w:tcPr>
          <w:p w14:paraId="3D8906F9">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泾口乡、幽兰镇</w:t>
            </w:r>
          </w:p>
        </w:tc>
        <w:tc>
          <w:tcPr>
            <w:tcW w:w="428" w:type="pct"/>
            <w:vAlign w:val="center"/>
          </w:tcPr>
          <w:p w14:paraId="4CDD5E24">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6.9</w:t>
            </w:r>
          </w:p>
        </w:tc>
        <w:tc>
          <w:tcPr>
            <w:tcW w:w="522" w:type="pct"/>
            <w:vAlign w:val="center"/>
          </w:tcPr>
          <w:p w14:paraId="63716331">
            <w:pPr>
              <w:spacing w:line="240" w:lineRule="auto"/>
              <w:ind w:firstLine="0" w:firstLineChars="0"/>
              <w:jc w:val="center"/>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rPr>
              <w:t>1.</w:t>
            </w:r>
            <w:r>
              <w:rPr>
                <w:rFonts w:hint="eastAsia" w:ascii="仿宋_GB2312" w:hAnsi="仿宋_GB2312" w:eastAsia="仿宋_GB2312" w:cs="仿宋_GB2312"/>
                <w:sz w:val="24"/>
                <w:szCs w:val="24"/>
                <w:highlight w:val="none"/>
                <w:lang w:val="en-US" w:eastAsia="zh-CN"/>
              </w:rPr>
              <w:t>2</w:t>
            </w:r>
          </w:p>
        </w:tc>
        <w:tc>
          <w:tcPr>
            <w:tcW w:w="593" w:type="pct"/>
            <w:vAlign w:val="center"/>
          </w:tcPr>
          <w:p w14:paraId="0FF74005">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0.3</w:t>
            </w:r>
          </w:p>
        </w:tc>
        <w:tc>
          <w:tcPr>
            <w:tcW w:w="660" w:type="pct"/>
            <w:vMerge w:val="continue"/>
            <w:vAlign w:val="center"/>
          </w:tcPr>
          <w:p w14:paraId="1B5FC4E7">
            <w:pPr>
              <w:spacing w:line="240" w:lineRule="auto"/>
              <w:ind w:firstLine="0" w:firstLineChars="0"/>
              <w:jc w:val="center"/>
              <w:rPr>
                <w:rFonts w:hint="eastAsia" w:ascii="仿宋_GB2312" w:hAnsi="仿宋_GB2312" w:eastAsia="仿宋_GB2312" w:cs="仿宋_GB2312"/>
                <w:sz w:val="24"/>
                <w:szCs w:val="24"/>
                <w:highlight w:val="none"/>
              </w:rPr>
            </w:pPr>
          </w:p>
        </w:tc>
      </w:tr>
      <w:tr w14:paraId="2D802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42" w:hRule="atLeast"/>
          <w:jc w:val="center"/>
        </w:trPr>
        <w:tc>
          <w:tcPr>
            <w:tcW w:w="356" w:type="pct"/>
            <w:vAlign w:val="center"/>
          </w:tcPr>
          <w:p w14:paraId="71EEE610">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7</w:t>
            </w:r>
          </w:p>
        </w:tc>
        <w:tc>
          <w:tcPr>
            <w:tcW w:w="804" w:type="pct"/>
            <w:vAlign w:val="center"/>
          </w:tcPr>
          <w:p w14:paraId="74FCF3B6">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幽兰水厂</w:t>
            </w:r>
          </w:p>
        </w:tc>
        <w:tc>
          <w:tcPr>
            <w:tcW w:w="629" w:type="pct"/>
            <w:vAlign w:val="center"/>
          </w:tcPr>
          <w:p w14:paraId="271E8FB8">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抚河</w:t>
            </w:r>
          </w:p>
        </w:tc>
        <w:tc>
          <w:tcPr>
            <w:tcW w:w="1005" w:type="pct"/>
            <w:vAlign w:val="center"/>
          </w:tcPr>
          <w:p w14:paraId="5A7C5065">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幽兰镇</w:t>
            </w:r>
          </w:p>
        </w:tc>
        <w:tc>
          <w:tcPr>
            <w:tcW w:w="428" w:type="pct"/>
            <w:vAlign w:val="center"/>
          </w:tcPr>
          <w:p w14:paraId="6E2528A0">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3.0</w:t>
            </w:r>
          </w:p>
        </w:tc>
        <w:tc>
          <w:tcPr>
            <w:tcW w:w="522" w:type="pct"/>
            <w:vAlign w:val="center"/>
          </w:tcPr>
          <w:p w14:paraId="22947E95">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0.5</w:t>
            </w:r>
          </w:p>
        </w:tc>
        <w:tc>
          <w:tcPr>
            <w:tcW w:w="593" w:type="pct"/>
            <w:vAlign w:val="center"/>
          </w:tcPr>
          <w:p w14:paraId="35C8E8BB">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0.25</w:t>
            </w:r>
          </w:p>
        </w:tc>
        <w:tc>
          <w:tcPr>
            <w:tcW w:w="660" w:type="pct"/>
            <w:vMerge w:val="continue"/>
            <w:vAlign w:val="center"/>
          </w:tcPr>
          <w:p w14:paraId="77951629">
            <w:pPr>
              <w:spacing w:line="240" w:lineRule="auto"/>
              <w:ind w:firstLine="0" w:firstLineChars="0"/>
              <w:jc w:val="center"/>
              <w:rPr>
                <w:rFonts w:hint="eastAsia" w:ascii="仿宋_GB2312" w:hAnsi="仿宋_GB2312" w:eastAsia="仿宋_GB2312" w:cs="仿宋_GB2312"/>
                <w:sz w:val="24"/>
                <w:szCs w:val="24"/>
                <w:highlight w:val="none"/>
              </w:rPr>
            </w:pPr>
          </w:p>
        </w:tc>
      </w:tr>
      <w:tr w14:paraId="44A80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42" w:hRule="atLeast"/>
          <w:jc w:val="center"/>
        </w:trPr>
        <w:tc>
          <w:tcPr>
            <w:tcW w:w="356" w:type="pct"/>
            <w:vAlign w:val="center"/>
          </w:tcPr>
          <w:p w14:paraId="2864C11B">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8</w:t>
            </w:r>
          </w:p>
        </w:tc>
        <w:tc>
          <w:tcPr>
            <w:tcW w:w="804" w:type="pct"/>
            <w:vAlign w:val="center"/>
          </w:tcPr>
          <w:p w14:paraId="3C50F2B0">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黄马水厂</w:t>
            </w:r>
          </w:p>
        </w:tc>
        <w:tc>
          <w:tcPr>
            <w:tcW w:w="629" w:type="pct"/>
            <w:vAlign w:val="center"/>
          </w:tcPr>
          <w:p w14:paraId="087B2787">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西总干渠</w:t>
            </w:r>
          </w:p>
        </w:tc>
        <w:tc>
          <w:tcPr>
            <w:tcW w:w="1005" w:type="pct"/>
            <w:vAlign w:val="center"/>
          </w:tcPr>
          <w:p w14:paraId="77A8147F">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黄马乡</w:t>
            </w:r>
          </w:p>
        </w:tc>
        <w:tc>
          <w:tcPr>
            <w:tcW w:w="428" w:type="pct"/>
            <w:vAlign w:val="center"/>
          </w:tcPr>
          <w:p w14:paraId="06273DA8">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3.89</w:t>
            </w:r>
          </w:p>
        </w:tc>
        <w:tc>
          <w:tcPr>
            <w:tcW w:w="522" w:type="pct"/>
            <w:vAlign w:val="center"/>
          </w:tcPr>
          <w:p w14:paraId="2A7510B4">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0.45</w:t>
            </w:r>
          </w:p>
        </w:tc>
        <w:tc>
          <w:tcPr>
            <w:tcW w:w="593" w:type="pct"/>
            <w:vAlign w:val="center"/>
          </w:tcPr>
          <w:p w14:paraId="680E857B">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0.35</w:t>
            </w:r>
          </w:p>
        </w:tc>
        <w:tc>
          <w:tcPr>
            <w:tcW w:w="660" w:type="pct"/>
            <w:vMerge w:val="continue"/>
            <w:vAlign w:val="center"/>
          </w:tcPr>
          <w:p w14:paraId="1023B373">
            <w:pPr>
              <w:spacing w:line="240" w:lineRule="auto"/>
              <w:ind w:firstLine="0" w:firstLineChars="0"/>
              <w:jc w:val="center"/>
              <w:rPr>
                <w:rFonts w:hint="eastAsia" w:ascii="仿宋_GB2312" w:hAnsi="仿宋_GB2312" w:eastAsia="仿宋_GB2312" w:cs="仿宋_GB2312"/>
                <w:sz w:val="24"/>
                <w:szCs w:val="24"/>
                <w:highlight w:val="none"/>
              </w:rPr>
            </w:pPr>
          </w:p>
        </w:tc>
      </w:tr>
      <w:tr w14:paraId="29174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356" w:type="pct"/>
            <w:vAlign w:val="center"/>
          </w:tcPr>
          <w:p w14:paraId="7E452340">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9</w:t>
            </w:r>
          </w:p>
        </w:tc>
        <w:tc>
          <w:tcPr>
            <w:tcW w:w="804" w:type="pct"/>
            <w:vAlign w:val="center"/>
          </w:tcPr>
          <w:p w14:paraId="3D665160">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塘南水厂</w:t>
            </w:r>
          </w:p>
        </w:tc>
        <w:tc>
          <w:tcPr>
            <w:tcW w:w="629" w:type="pct"/>
            <w:vAlign w:val="center"/>
          </w:tcPr>
          <w:p w14:paraId="194CA4EC">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抚河故道</w:t>
            </w:r>
          </w:p>
        </w:tc>
        <w:tc>
          <w:tcPr>
            <w:tcW w:w="1005" w:type="pct"/>
            <w:vAlign w:val="center"/>
          </w:tcPr>
          <w:p w14:paraId="2C5FAB6E">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塘南镇</w:t>
            </w:r>
          </w:p>
        </w:tc>
        <w:tc>
          <w:tcPr>
            <w:tcW w:w="428" w:type="pct"/>
            <w:vAlign w:val="center"/>
          </w:tcPr>
          <w:p w14:paraId="6D406F8D">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5.08</w:t>
            </w:r>
          </w:p>
        </w:tc>
        <w:tc>
          <w:tcPr>
            <w:tcW w:w="522" w:type="pct"/>
            <w:vAlign w:val="center"/>
          </w:tcPr>
          <w:p w14:paraId="5C047732">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1.0</w:t>
            </w:r>
          </w:p>
        </w:tc>
        <w:tc>
          <w:tcPr>
            <w:tcW w:w="593" w:type="pct"/>
            <w:vAlign w:val="center"/>
          </w:tcPr>
          <w:p w14:paraId="325DA67C">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0.3</w:t>
            </w:r>
          </w:p>
        </w:tc>
        <w:tc>
          <w:tcPr>
            <w:tcW w:w="660" w:type="pct"/>
            <w:vMerge w:val="continue"/>
            <w:vAlign w:val="center"/>
          </w:tcPr>
          <w:p w14:paraId="4DC8BD69">
            <w:pPr>
              <w:spacing w:line="240" w:lineRule="auto"/>
              <w:ind w:firstLine="0" w:firstLineChars="0"/>
              <w:jc w:val="center"/>
              <w:rPr>
                <w:rFonts w:hint="eastAsia" w:ascii="仿宋_GB2312" w:hAnsi="仿宋_GB2312" w:eastAsia="仿宋_GB2312" w:cs="仿宋_GB2312"/>
                <w:sz w:val="24"/>
                <w:szCs w:val="24"/>
                <w:highlight w:val="none"/>
              </w:rPr>
            </w:pPr>
          </w:p>
        </w:tc>
      </w:tr>
      <w:tr w14:paraId="48886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356" w:type="pct"/>
            <w:vAlign w:val="center"/>
          </w:tcPr>
          <w:p w14:paraId="7C2E5756">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10</w:t>
            </w:r>
          </w:p>
        </w:tc>
        <w:tc>
          <w:tcPr>
            <w:tcW w:w="804" w:type="pct"/>
            <w:vAlign w:val="center"/>
          </w:tcPr>
          <w:p w14:paraId="18D97575">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武阳水厂</w:t>
            </w:r>
          </w:p>
        </w:tc>
        <w:tc>
          <w:tcPr>
            <w:tcW w:w="629" w:type="pct"/>
            <w:vAlign w:val="center"/>
          </w:tcPr>
          <w:p w14:paraId="697BBCAD">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抚河故道</w:t>
            </w:r>
          </w:p>
        </w:tc>
        <w:tc>
          <w:tcPr>
            <w:tcW w:w="1005" w:type="pct"/>
            <w:vAlign w:val="center"/>
          </w:tcPr>
          <w:p w14:paraId="4B023B5F">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武阳镇、塔城乡</w:t>
            </w:r>
          </w:p>
        </w:tc>
        <w:tc>
          <w:tcPr>
            <w:tcW w:w="428" w:type="pct"/>
            <w:vAlign w:val="center"/>
          </w:tcPr>
          <w:p w14:paraId="2FAC9563">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6.3</w:t>
            </w:r>
          </w:p>
        </w:tc>
        <w:tc>
          <w:tcPr>
            <w:tcW w:w="522" w:type="pct"/>
            <w:vAlign w:val="center"/>
          </w:tcPr>
          <w:p w14:paraId="0AEBC3B2">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0.5</w:t>
            </w:r>
          </w:p>
        </w:tc>
        <w:tc>
          <w:tcPr>
            <w:tcW w:w="593" w:type="pct"/>
            <w:vAlign w:val="center"/>
          </w:tcPr>
          <w:p w14:paraId="11BF3725">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0.5</w:t>
            </w:r>
          </w:p>
        </w:tc>
        <w:tc>
          <w:tcPr>
            <w:tcW w:w="660" w:type="pct"/>
            <w:vMerge w:val="continue"/>
            <w:vAlign w:val="center"/>
          </w:tcPr>
          <w:p w14:paraId="6FB331BF">
            <w:pPr>
              <w:spacing w:line="240" w:lineRule="auto"/>
              <w:ind w:firstLine="0" w:firstLineChars="0"/>
              <w:jc w:val="center"/>
              <w:rPr>
                <w:rFonts w:hint="eastAsia" w:ascii="仿宋_GB2312" w:hAnsi="仿宋_GB2312" w:eastAsia="仿宋_GB2312" w:cs="仿宋_GB2312"/>
                <w:color w:val="000000"/>
                <w:kern w:val="0"/>
                <w:sz w:val="24"/>
                <w:szCs w:val="24"/>
                <w:highlight w:val="none"/>
              </w:rPr>
            </w:pPr>
          </w:p>
        </w:tc>
      </w:tr>
      <w:tr w14:paraId="15281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356" w:type="pct"/>
            <w:vAlign w:val="center"/>
          </w:tcPr>
          <w:p w14:paraId="34A96F61">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11</w:t>
            </w:r>
          </w:p>
        </w:tc>
        <w:tc>
          <w:tcPr>
            <w:tcW w:w="804" w:type="pct"/>
            <w:vAlign w:val="center"/>
          </w:tcPr>
          <w:p w14:paraId="6322AEF5">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向塘水厂</w:t>
            </w:r>
          </w:p>
        </w:tc>
        <w:tc>
          <w:tcPr>
            <w:tcW w:w="629" w:type="pct"/>
            <w:vAlign w:val="center"/>
          </w:tcPr>
          <w:p w14:paraId="449EDB39">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西总干渠</w:t>
            </w:r>
          </w:p>
        </w:tc>
        <w:tc>
          <w:tcPr>
            <w:tcW w:w="1005" w:type="pct"/>
            <w:vAlign w:val="center"/>
          </w:tcPr>
          <w:p w14:paraId="1D4CFAF7">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向塘镇镇区</w:t>
            </w:r>
          </w:p>
        </w:tc>
        <w:tc>
          <w:tcPr>
            <w:tcW w:w="428" w:type="pct"/>
            <w:vAlign w:val="center"/>
          </w:tcPr>
          <w:p w14:paraId="2D44A6BB">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3.80</w:t>
            </w:r>
          </w:p>
        </w:tc>
        <w:tc>
          <w:tcPr>
            <w:tcW w:w="522" w:type="pct"/>
            <w:vAlign w:val="center"/>
          </w:tcPr>
          <w:p w14:paraId="3DBD14F9">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5.0</w:t>
            </w:r>
          </w:p>
        </w:tc>
        <w:tc>
          <w:tcPr>
            <w:tcW w:w="593" w:type="pct"/>
            <w:vAlign w:val="center"/>
          </w:tcPr>
          <w:p w14:paraId="19DA6169">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1.0</w:t>
            </w:r>
          </w:p>
        </w:tc>
        <w:tc>
          <w:tcPr>
            <w:tcW w:w="660" w:type="pct"/>
            <w:vAlign w:val="center"/>
          </w:tcPr>
          <w:p w14:paraId="69D7C186">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江西冲天实业发展有限公司（私营）</w:t>
            </w:r>
          </w:p>
        </w:tc>
      </w:tr>
      <w:tr w14:paraId="5F520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2" w:hRule="atLeast"/>
          <w:jc w:val="center"/>
        </w:trPr>
        <w:tc>
          <w:tcPr>
            <w:tcW w:w="356" w:type="pct"/>
            <w:vAlign w:val="center"/>
          </w:tcPr>
          <w:p w14:paraId="3EFAE036">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12</w:t>
            </w:r>
          </w:p>
        </w:tc>
        <w:tc>
          <w:tcPr>
            <w:tcW w:w="804" w:type="pct"/>
            <w:vAlign w:val="center"/>
          </w:tcPr>
          <w:p w14:paraId="39783B47">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向塘铁路水厂</w:t>
            </w:r>
          </w:p>
        </w:tc>
        <w:tc>
          <w:tcPr>
            <w:tcW w:w="629" w:type="pct"/>
            <w:vAlign w:val="center"/>
          </w:tcPr>
          <w:p w14:paraId="5486ED75">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西总干渠</w:t>
            </w:r>
          </w:p>
        </w:tc>
        <w:tc>
          <w:tcPr>
            <w:tcW w:w="1005" w:type="pct"/>
            <w:vAlign w:val="center"/>
          </w:tcPr>
          <w:p w14:paraId="5750731A">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铁路部门</w:t>
            </w:r>
          </w:p>
        </w:tc>
        <w:tc>
          <w:tcPr>
            <w:tcW w:w="428" w:type="pct"/>
            <w:vAlign w:val="center"/>
          </w:tcPr>
          <w:p w14:paraId="445C7EDE">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2.0</w:t>
            </w:r>
          </w:p>
        </w:tc>
        <w:tc>
          <w:tcPr>
            <w:tcW w:w="522" w:type="pct"/>
            <w:vAlign w:val="center"/>
          </w:tcPr>
          <w:p w14:paraId="2B7BDCFF">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2.0</w:t>
            </w:r>
          </w:p>
        </w:tc>
        <w:tc>
          <w:tcPr>
            <w:tcW w:w="593" w:type="pct"/>
            <w:vAlign w:val="center"/>
          </w:tcPr>
          <w:p w14:paraId="49D9EE04">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0.8</w:t>
            </w:r>
          </w:p>
        </w:tc>
        <w:tc>
          <w:tcPr>
            <w:tcW w:w="660" w:type="pct"/>
            <w:vAlign w:val="center"/>
          </w:tcPr>
          <w:p w14:paraId="488CDEF4">
            <w:pPr>
              <w:spacing w:line="240" w:lineRule="auto"/>
              <w:ind w:firstLine="0" w:firstLineChars="0"/>
              <w:jc w:val="center"/>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南昌县水投向塘供水有限公司</w:t>
            </w:r>
          </w:p>
        </w:tc>
      </w:tr>
      <w:tr w14:paraId="5FBE1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83" w:hRule="atLeast"/>
          <w:jc w:val="center"/>
        </w:trPr>
        <w:tc>
          <w:tcPr>
            <w:tcW w:w="356" w:type="pct"/>
            <w:vAlign w:val="center"/>
          </w:tcPr>
          <w:p w14:paraId="68B402D9">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13</w:t>
            </w:r>
          </w:p>
        </w:tc>
        <w:tc>
          <w:tcPr>
            <w:tcW w:w="804" w:type="pct"/>
            <w:vAlign w:val="center"/>
          </w:tcPr>
          <w:p w14:paraId="5CDE2615">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三江水厂</w:t>
            </w:r>
          </w:p>
        </w:tc>
        <w:tc>
          <w:tcPr>
            <w:tcW w:w="629" w:type="pct"/>
            <w:vAlign w:val="center"/>
          </w:tcPr>
          <w:p w14:paraId="5167D902">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西总干渠</w:t>
            </w:r>
          </w:p>
        </w:tc>
        <w:tc>
          <w:tcPr>
            <w:tcW w:w="1005" w:type="pct"/>
            <w:vAlign w:val="center"/>
          </w:tcPr>
          <w:p w14:paraId="17FCF25A">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三江镇</w:t>
            </w:r>
          </w:p>
        </w:tc>
        <w:tc>
          <w:tcPr>
            <w:tcW w:w="428" w:type="pct"/>
            <w:vAlign w:val="center"/>
          </w:tcPr>
          <w:p w14:paraId="5DEA2B41">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0.50</w:t>
            </w:r>
          </w:p>
        </w:tc>
        <w:tc>
          <w:tcPr>
            <w:tcW w:w="522" w:type="pct"/>
            <w:vAlign w:val="center"/>
          </w:tcPr>
          <w:p w14:paraId="7B8A3E2B">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0.4</w:t>
            </w:r>
          </w:p>
        </w:tc>
        <w:tc>
          <w:tcPr>
            <w:tcW w:w="593" w:type="pct"/>
            <w:vAlign w:val="center"/>
          </w:tcPr>
          <w:p w14:paraId="017FE47F">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0.045</w:t>
            </w:r>
          </w:p>
        </w:tc>
        <w:tc>
          <w:tcPr>
            <w:tcW w:w="660" w:type="pct"/>
            <w:vAlign w:val="center"/>
          </w:tcPr>
          <w:p w14:paraId="226D8CC4">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个体经营</w:t>
            </w:r>
          </w:p>
        </w:tc>
      </w:tr>
      <w:tr w14:paraId="380C4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27" w:hRule="atLeast"/>
          <w:jc w:val="center"/>
        </w:trPr>
        <w:tc>
          <w:tcPr>
            <w:tcW w:w="2795" w:type="pct"/>
            <w:gridSpan w:val="4"/>
            <w:vAlign w:val="center"/>
          </w:tcPr>
          <w:p w14:paraId="19908BCD">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小计</w:t>
            </w:r>
          </w:p>
        </w:tc>
        <w:tc>
          <w:tcPr>
            <w:tcW w:w="428" w:type="pct"/>
            <w:vAlign w:val="center"/>
          </w:tcPr>
          <w:p w14:paraId="59500625">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96.33</w:t>
            </w:r>
          </w:p>
        </w:tc>
        <w:tc>
          <w:tcPr>
            <w:tcW w:w="522" w:type="pct"/>
            <w:vAlign w:val="center"/>
          </w:tcPr>
          <w:p w14:paraId="6E08AF00">
            <w:pPr>
              <w:spacing w:line="240" w:lineRule="auto"/>
              <w:ind w:firstLine="0" w:firstLineChars="0"/>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55.05</w:t>
            </w:r>
          </w:p>
        </w:tc>
        <w:tc>
          <w:tcPr>
            <w:tcW w:w="593" w:type="pct"/>
            <w:vAlign w:val="center"/>
          </w:tcPr>
          <w:p w14:paraId="5E2E92FA">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34.155</w:t>
            </w:r>
          </w:p>
        </w:tc>
        <w:tc>
          <w:tcPr>
            <w:tcW w:w="660" w:type="pct"/>
            <w:vAlign w:val="center"/>
          </w:tcPr>
          <w:p w14:paraId="3BC963F3">
            <w:pPr>
              <w:spacing w:line="240" w:lineRule="auto"/>
              <w:ind w:firstLine="0" w:firstLineChars="0"/>
              <w:jc w:val="center"/>
              <w:rPr>
                <w:rFonts w:hint="eastAsia" w:ascii="仿宋_GB2312" w:hAnsi="仿宋_GB2312" w:eastAsia="仿宋_GB2312" w:cs="仿宋_GB2312"/>
                <w:sz w:val="24"/>
                <w:szCs w:val="24"/>
                <w:highlight w:val="none"/>
              </w:rPr>
            </w:pPr>
          </w:p>
        </w:tc>
      </w:tr>
      <w:bookmarkEnd w:id="55"/>
    </w:tbl>
    <w:p w14:paraId="3CB17568">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textAlignment w:val="auto"/>
        <w:rPr>
          <w:rFonts w:hint="eastAsia" w:ascii="仿宋_GB2312" w:hAnsi="仿宋_GB2312" w:eastAsia="仿宋_GB2312" w:cs="仿宋_GB2312"/>
          <w:sz w:val="32"/>
          <w:szCs w:val="32"/>
          <w:highlight w:val="none"/>
          <w:woUserID w:val="1"/>
        </w:rPr>
      </w:pPr>
      <w:bookmarkStart w:id="56" w:name="_Toc17568"/>
      <w:bookmarkStart w:id="57" w:name="_Toc30053"/>
      <w:r>
        <w:rPr>
          <w:rFonts w:hint="eastAsia" w:ascii="仿宋_GB2312" w:hAnsi="仿宋_GB2312" w:eastAsia="仿宋_GB2312" w:cs="仿宋_GB2312"/>
          <w:sz w:val="32"/>
          <w:szCs w:val="32"/>
          <w:highlight w:val="none"/>
          <w:lang w:eastAsia="zh"/>
          <w:woUserID w:val="1"/>
        </w:rPr>
        <w:t>小型集中供水工程</w:t>
      </w:r>
      <w:bookmarkEnd w:id="56"/>
      <w:bookmarkEnd w:id="57"/>
    </w:p>
    <w:p w14:paraId="7431E626">
      <w:pPr>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kern w:val="2"/>
          <w:sz w:val="32"/>
          <w:szCs w:val="32"/>
          <w:highlight w:val="none"/>
          <w:lang w:val="en-US" w:eastAsia="zh" w:bidi="ar-SA"/>
        </w:rPr>
      </w:pPr>
      <w:r>
        <w:rPr>
          <w:rFonts w:hint="eastAsia" w:ascii="仿宋_GB2312" w:hAnsi="仿宋_GB2312" w:eastAsia="仿宋_GB2312" w:cs="仿宋_GB2312"/>
          <w:kern w:val="2"/>
          <w:sz w:val="32"/>
          <w:szCs w:val="32"/>
          <w:highlight w:val="none"/>
          <w:lang w:val="en-US" w:eastAsia="zh" w:bidi="ar-SA"/>
        </w:rPr>
        <w:t>无。</w:t>
      </w:r>
    </w:p>
    <w:p w14:paraId="4A0DCB02">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textAlignment w:val="auto"/>
        <w:rPr>
          <w:rFonts w:hint="eastAsia" w:ascii="仿宋_GB2312" w:hAnsi="仿宋_GB2312" w:eastAsia="仿宋_GB2312" w:cs="仿宋_GB2312"/>
          <w:sz w:val="32"/>
          <w:szCs w:val="32"/>
          <w:highlight w:val="none"/>
        </w:rPr>
      </w:pPr>
      <w:bookmarkStart w:id="58" w:name="_Toc6496"/>
      <w:bookmarkStart w:id="59" w:name="_Toc5457"/>
      <w:r>
        <w:rPr>
          <w:rFonts w:hint="eastAsia" w:ascii="仿宋_GB2312" w:hAnsi="仿宋_GB2312" w:eastAsia="仿宋_GB2312" w:cs="仿宋_GB2312"/>
          <w:sz w:val="32"/>
          <w:szCs w:val="32"/>
          <w:highlight w:val="none"/>
        </w:rPr>
        <w:t>分散式供水</w:t>
      </w:r>
      <w:r>
        <w:rPr>
          <w:rFonts w:hint="eastAsia" w:ascii="仿宋_GB2312" w:hAnsi="仿宋_GB2312" w:eastAsia="仿宋_GB2312" w:cs="仿宋_GB2312"/>
          <w:sz w:val="32"/>
          <w:szCs w:val="32"/>
          <w:highlight w:val="none"/>
          <w:lang w:eastAsia="zh"/>
          <w:woUserID w:val="1"/>
        </w:rPr>
        <w:t>工程</w:t>
      </w:r>
      <w:bookmarkEnd w:id="58"/>
      <w:bookmarkEnd w:id="59"/>
    </w:p>
    <w:p w14:paraId="0E31E20C">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南昌县分散式供水工程均为单户分散式供水工程，涉及泾口乡、幽兰镇、武阳</w:t>
      </w:r>
      <w:r>
        <w:rPr>
          <w:rFonts w:hint="eastAsia" w:ascii="仿宋_GB2312" w:hAnsi="仿宋_GB2312" w:eastAsia="仿宋_GB2312" w:cs="仿宋_GB2312"/>
          <w:color w:val="000000" w:themeColor="text1"/>
          <w:sz w:val="32"/>
          <w:szCs w:val="32"/>
          <w:highlight w:val="none"/>
          <w14:textFill>
            <w14:solidFill>
              <w14:schemeClr w14:val="tx1"/>
            </w14:solidFill>
          </w14:textFill>
        </w:rPr>
        <w:t>镇、向塘镇、</w:t>
      </w:r>
      <w:r>
        <w:rPr>
          <w:rFonts w:hint="eastAsia" w:ascii="仿宋_GB2312" w:hAnsi="仿宋_GB2312" w:eastAsia="仿宋_GB2312" w:cs="仿宋_GB2312"/>
          <w:sz w:val="32"/>
          <w:szCs w:val="32"/>
          <w:highlight w:val="none"/>
        </w:rPr>
        <w:t>广福镇、塘南镇、银三角街道、八一乡</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塔城乡9</w:t>
      </w:r>
      <w:r>
        <w:rPr>
          <w:rFonts w:hint="eastAsia" w:ascii="仿宋_GB2312" w:hAnsi="仿宋_GB2312" w:eastAsia="仿宋_GB2312" w:cs="仿宋_GB2312"/>
          <w:sz w:val="32"/>
          <w:szCs w:val="32"/>
          <w:highlight w:val="none"/>
        </w:rPr>
        <w:t>个乡镇（街道），覆盖供水人口93640人，共24921户。主</w:t>
      </w:r>
      <w:r>
        <w:rPr>
          <w:rFonts w:hint="eastAsia" w:ascii="仿宋_GB2312" w:hAnsi="仿宋_GB2312" w:eastAsia="仿宋_GB2312" w:cs="仿宋_GB2312"/>
          <w:color w:val="000000" w:themeColor="text1"/>
          <w:sz w:val="32"/>
          <w:szCs w:val="32"/>
          <w:highlight w:val="none"/>
          <w14:textFill>
            <w14:solidFill>
              <w14:schemeClr w14:val="tx1"/>
            </w14:solidFill>
          </w14:textFill>
        </w:rPr>
        <w:t>要在</w:t>
      </w:r>
      <w:r>
        <w:rPr>
          <w:rFonts w:hint="eastAsia" w:ascii="仿宋_GB2312" w:hAnsi="仿宋_GB2312" w:eastAsia="仿宋_GB2312" w:cs="仿宋_GB2312"/>
          <w:sz w:val="32"/>
          <w:szCs w:val="32"/>
          <w:highlight w:val="none"/>
        </w:rPr>
        <w:t>一些偏远分散村庄里，自行打压水井引入自家水管，水源为地下水，无净水消毒措施，水质未检测直接使用，安全性存在隐患，此类分散式供水工程均以当地村民自行管理。</w:t>
      </w:r>
    </w:p>
    <w:p w14:paraId="2AB9A36D">
      <w:pPr>
        <w:pStyle w:val="4"/>
        <w:keepNext/>
        <w:keepLines/>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b w:val="0"/>
          <w:bCs/>
          <w:sz w:val="32"/>
          <w:szCs w:val="32"/>
          <w:highlight w:val="none"/>
        </w:rPr>
      </w:pPr>
      <w:bookmarkStart w:id="60" w:name="_Toc20260"/>
      <w:bookmarkStart w:id="61" w:name="_Toc31459"/>
      <w:r>
        <w:rPr>
          <w:rFonts w:hint="eastAsia" w:ascii="黑体" w:hAnsi="黑体" w:eastAsia="黑体" w:cs="黑体"/>
          <w:b w:val="0"/>
          <w:bCs/>
          <w:sz w:val="32"/>
          <w:szCs w:val="32"/>
          <w:highlight w:val="none"/>
        </w:rPr>
        <w:t>问题摸排情况</w:t>
      </w:r>
      <w:bookmarkEnd w:id="60"/>
      <w:bookmarkEnd w:id="61"/>
    </w:p>
    <w:p w14:paraId="2EBF67DD">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62" w:name="_Toc15568"/>
      <w:bookmarkStart w:id="63" w:name="_Toc10818"/>
      <w:bookmarkStart w:id="64" w:name="OLE_LINK37"/>
      <w:r>
        <w:rPr>
          <w:rFonts w:hint="eastAsia" w:ascii="楷体" w:hAnsi="楷体" w:eastAsia="楷体" w:cs="楷体"/>
          <w:sz w:val="32"/>
          <w:szCs w:val="32"/>
          <w:highlight w:val="none"/>
        </w:rPr>
        <w:t>摸排内容</w:t>
      </w:r>
      <w:bookmarkEnd w:id="62"/>
      <w:bookmarkEnd w:id="63"/>
    </w:p>
    <w:bookmarkEnd w:id="64"/>
    <w:p w14:paraId="000045E8">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textAlignment w:val="auto"/>
        <w:rPr>
          <w:rFonts w:hint="eastAsia" w:ascii="仿宋_GB2312" w:hAnsi="仿宋_GB2312" w:eastAsia="仿宋_GB2312" w:cs="仿宋_GB2312"/>
          <w:sz w:val="32"/>
          <w:szCs w:val="32"/>
          <w:highlight w:val="none"/>
        </w:rPr>
      </w:pPr>
      <w:bookmarkStart w:id="65" w:name="_Toc1761"/>
      <w:bookmarkStart w:id="66" w:name="_Toc10897"/>
      <w:r>
        <w:rPr>
          <w:rFonts w:hint="eastAsia" w:ascii="仿宋_GB2312" w:hAnsi="仿宋_GB2312" w:eastAsia="仿宋_GB2312" w:cs="仿宋_GB2312"/>
          <w:sz w:val="32"/>
          <w:szCs w:val="32"/>
          <w:highlight w:val="none"/>
        </w:rPr>
        <w:t>规模化供水工程</w:t>
      </w:r>
      <w:bookmarkEnd w:id="65"/>
      <w:bookmarkEnd w:id="66"/>
    </w:p>
    <w:p w14:paraId="258686BC">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对全县10处</w:t>
      </w:r>
      <w:bookmarkStart w:id="67" w:name="_Hlk216382168"/>
      <w:r>
        <w:rPr>
          <w:rFonts w:hint="eastAsia" w:ascii="仿宋_GB2312" w:hAnsi="仿宋_GB2312" w:eastAsia="仿宋_GB2312" w:cs="仿宋_GB2312"/>
          <w:sz w:val="32"/>
          <w:szCs w:val="32"/>
          <w:highlight w:val="none"/>
        </w:rPr>
        <w:t>农村规模化供水工程</w:t>
      </w:r>
      <w:bookmarkEnd w:id="67"/>
      <w:r>
        <w:rPr>
          <w:rFonts w:hint="eastAsia" w:ascii="仿宋_GB2312" w:hAnsi="仿宋_GB2312" w:eastAsia="仿宋_GB2312" w:cs="仿宋_GB2312"/>
          <w:sz w:val="32"/>
          <w:szCs w:val="32"/>
          <w:highlight w:val="none"/>
        </w:rPr>
        <w:t>进行摸排，存在问题的工程有8处</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涉及薄弱环节问题数12个</w:t>
      </w:r>
      <w:r>
        <w:rPr>
          <w:rFonts w:hint="eastAsia" w:ascii="仿宋_GB2312" w:hAnsi="仿宋_GB2312" w:eastAsia="仿宋_GB2312" w:cs="仿宋_GB2312"/>
          <w:sz w:val="32"/>
          <w:szCs w:val="32"/>
          <w:highlight w:val="none"/>
        </w:rPr>
        <w:t>（详见</w:t>
      </w: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REF_Ref216258914\h\*MERGEFORMAT</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表5</w:t>
      </w:r>
      <w:r>
        <w:rPr>
          <w:rFonts w:hint="eastAsia" w:ascii="仿宋_GB2312" w:hAnsi="仿宋_GB2312" w:eastAsia="仿宋_GB2312" w:cs="仿宋_GB2312"/>
          <w:sz w:val="32"/>
          <w:szCs w:val="32"/>
          <w:highlight w:val="none"/>
        </w:rPr>
        <w:noBreakHyphen/>
      </w: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sz w:val="32"/>
          <w:szCs w:val="32"/>
          <w:highlight w:val="none"/>
        </w:rPr>
        <w:t>），情况如下：</w:t>
      </w:r>
    </w:p>
    <w:p w14:paraId="34EBAFA5">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黄马水厂</w:t>
      </w:r>
      <w:r>
        <w:rPr>
          <w:rFonts w:hint="eastAsia" w:ascii="仿宋_GB2312" w:hAnsi="仿宋_GB2312" w:eastAsia="仿宋_GB2312" w:cs="仿宋_GB2312"/>
          <w:sz w:val="32"/>
          <w:szCs w:val="32"/>
          <w:highlight w:val="none"/>
        </w:rPr>
        <w:t>位于黄马乡中心小学附近，取水水源为西总干渠，原水水质Ⅱ～Ⅲ类，水厂出厂水水质满足相关要求。供水范围覆盖除东边村以外的12个行政村和3个居委会。该工程取水设施、滤池存在老化现象，且</w:t>
      </w:r>
      <w:r>
        <w:rPr>
          <w:rFonts w:hint="eastAsia" w:ascii="仿宋_GB2312" w:hAnsi="仿宋_GB2312" w:eastAsia="仿宋_GB2312" w:cs="仿宋_GB2312"/>
          <w:sz w:val="32"/>
          <w:szCs w:val="32"/>
          <w:highlight w:val="none"/>
          <w:lang w:eastAsia="zh"/>
          <w:woUserID w:val="1"/>
        </w:rPr>
        <w:t>管网</w:t>
      </w:r>
      <w:r>
        <w:rPr>
          <w:rFonts w:hint="eastAsia" w:ascii="仿宋_GB2312" w:hAnsi="仿宋_GB2312" w:eastAsia="仿宋_GB2312" w:cs="仿宋_GB2312"/>
          <w:sz w:val="32"/>
          <w:szCs w:val="32"/>
          <w:highlight w:val="none"/>
          <w:lang w:eastAsia="zh"/>
        </w:rPr>
        <w:t>分区计量、测压设施不足</w:t>
      </w:r>
      <w:r>
        <w:rPr>
          <w:rFonts w:hint="eastAsia" w:ascii="仿宋_GB2312" w:hAnsi="仿宋_GB2312" w:eastAsia="仿宋_GB2312" w:cs="仿宋_GB2312"/>
          <w:sz w:val="32"/>
          <w:szCs w:val="32"/>
          <w:highlight w:val="none"/>
        </w:rPr>
        <w:t>。</w:t>
      </w:r>
    </w:p>
    <w:p w14:paraId="50BE09EF">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武阳水厂</w:t>
      </w:r>
      <w:r>
        <w:rPr>
          <w:rFonts w:hint="eastAsia" w:ascii="仿宋_GB2312" w:hAnsi="仿宋_GB2312" w:eastAsia="仿宋_GB2312" w:cs="仿宋_GB2312"/>
          <w:sz w:val="32"/>
          <w:szCs w:val="32"/>
          <w:highlight w:val="none"/>
        </w:rPr>
        <w:t>位于武阳镇泗港口附近，供水范围覆盖武阳镇和塔城乡，其中武阳装配式建筑产业园也由武阳水厂供水。设计供水规模5000 m³/d，现状实际供水量已满负荷。远期计划将武阳水厂改为加压泵站，将供水片区纳入银三角水厂（在建）的供水范围。该工程存在滤池老化、</w:t>
      </w:r>
      <w:r>
        <w:rPr>
          <w:rFonts w:hint="eastAsia" w:ascii="仿宋_GB2312" w:hAnsi="仿宋_GB2312" w:eastAsia="仿宋_GB2312" w:cs="仿宋_GB2312"/>
          <w:sz w:val="32"/>
          <w:szCs w:val="32"/>
          <w:highlight w:val="none"/>
          <w:lang w:val="en-US" w:eastAsia="zh-CN"/>
        </w:rPr>
        <w:t>高峰期</w:t>
      </w:r>
      <w:r>
        <w:rPr>
          <w:rFonts w:hint="eastAsia" w:ascii="仿宋_GB2312" w:hAnsi="仿宋_GB2312" w:eastAsia="仿宋_GB2312" w:cs="仿宋_GB2312"/>
          <w:sz w:val="32"/>
          <w:szCs w:val="32"/>
          <w:highlight w:val="none"/>
        </w:rPr>
        <w:t>水量</w:t>
      </w:r>
      <w:r>
        <w:rPr>
          <w:rFonts w:hint="eastAsia" w:ascii="仿宋_GB2312" w:hAnsi="仿宋_GB2312" w:eastAsia="仿宋_GB2312" w:cs="仿宋_GB2312"/>
          <w:sz w:val="32"/>
          <w:szCs w:val="32"/>
          <w:highlight w:val="none"/>
          <w:lang w:val="en-US" w:eastAsia="zh-CN"/>
        </w:rPr>
        <w:t>不足、管网末端</w:t>
      </w:r>
      <w:r>
        <w:rPr>
          <w:rFonts w:hint="eastAsia" w:ascii="仿宋_GB2312" w:hAnsi="仿宋_GB2312" w:eastAsia="仿宋_GB2312" w:cs="仿宋_GB2312"/>
          <w:sz w:val="32"/>
          <w:szCs w:val="32"/>
          <w:highlight w:val="none"/>
        </w:rPr>
        <w:t>水压不足</w:t>
      </w:r>
      <w:r>
        <w:rPr>
          <w:rFonts w:hint="eastAsia" w:ascii="仿宋_GB2312" w:hAnsi="仿宋_GB2312" w:eastAsia="仿宋_GB2312" w:cs="仿宋_GB2312"/>
          <w:sz w:val="32"/>
          <w:szCs w:val="32"/>
          <w:highlight w:val="none"/>
          <w:lang w:eastAsia="zh"/>
          <w:woUserID w:val="1"/>
        </w:rPr>
        <w:t>以及分区计量、测压设施不足</w:t>
      </w:r>
      <w:r>
        <w:rPr>
          <w:rFonts w:hint="eastAsia" w:ascii="仿宋_GB2312" w:hAnsi="仿宋_GB2312" w:eastAsia="仿宋_GB2312" w:cs="仿宋_GB2312"/>
          <w:sz w:val="32"/>
          <w:szCs w:val="32"/>
          <w:highlight w:val="none"/>
        </w:rPr>
        <w:t>等问题。</w:t>
      </w:r>
    </w:p>
    <w:p w14:paraId="258FEA1F">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冈上水厂</w:t>
      </w:r>
      <w:r>
        <w:rPr>
          <w:rFonts w:hint="eastAsia" w:ascii="仿宋_GB2312" w:hAnsi="仿宋_GB2312" w:eastAsia="仿宋_GB2312" w:cs="仿宋_GB2312"/>
          <w:sz w:val="32"/>
          <w:szCs w:val="32"/>
          <w:highlight w:val="none"/>
        </w:rPr>
        <w:t>位于冈上镇长湖刘家村附近，供水范围覆盖曲湖村、合山村、万舍村、长湖村、石湖村、冈上村、万舍村委会、冈上村、东坛村、黄台村、安仁村、兴农村、蚕石村、晋安村、万舍街委会、冈上街居委会、市汊街委会12个行政村和3个居委会。该工程建设年代久远，存在取水泵功率不足</w:t>
      </w:r>
      <w:r>
        <w:rPr>
          <w:rFonts w:hint="eastAsia" w:ascii="仿宋_GB2312" w:hAnsi="仿宋_GB2312" w:eastAsia="仿宋_GB2312" w:cs="仿宋_GB2312"/>
          <w:sz w:val="32"/>
          <w:szCs w:val="32"/>
          <w:highlight w:val="none"/>
          <w:lang w:val="en-US" w:eastAsia="zh-CN"/>
        </w:rPr>
        <w:t>且</w:t>
      </w:r>
      <w:r>
        <w:rPr>
          <w:rFonts w:hint="eastAsia" w:ascii="仿宋_GB2312" w:hAnsi="仿宋_GB2312" w:eastAsia="仿宋_GB2312" w:cs="仿宋_GB2312"/>
          <w:sz w:val="32"/>
          <w:szCs w:val="32"/>
          <w:highlight w:val="none"/>
        </w:rPr>
        <w:t>现状管网</w:t>
      </w:r>
      <w:r>
        <w:rPr>
          <w:rFonts w:hint="eastAsia" w:ascii="仿宋_GB2312" w:hAnsi="仿宋_GB2312" w:eastAsia="仿宋_GB2312" w:cs="仿宋_GB2312"/>
          <w:sz w:val="32"/>
          <w:szCs w:val="32"/>
          <w:highlight w:val="none"/>
          <w:lang w:eastAsia="zh"/>
          <w:woUserID w:val="1"/>
        </w:rPr>
        <w:t>分区</w:t>
      </w:r>
      <w:r>
        <w:rPr>
          <w:rFonts w:hint="eastAsia" w:ascii="仿宋_GB2312" w:hAnsi="仿宋_GB2312" w:eastAsia="仿宋_GB2312" w:cs="仿宋_GB2312"/>
          <w:sz w:val="32"/>
          <w:szCs w:val="32"/>
          <w:highlight w:val="none"/>
        </w:rPr>
        <w:t>在线计量、测压设施</w:t>
      </w:r>
      <w:r>
        <w:rPr>
          <w:rFonts w:hint="eastAsia" w:ascii="仿宋_GB2312" w:hAnsi="仿宋_GB2312" w:eastAsia="仿宋_GB2312" w:cs="仿宋_GB2312"/>
          <w:sz w:val="32"/>
          <w:szCs w:val="32"/>
          <w:highlight w:val="none"/>
          <w:lang w:eastAsia="zh"/>
          <w:woUserID w:val="1"/>
        </w:rPr>
        <w:t>不足</w:t>
      </w:r>
      <w:r>
        <w:rPr>
          <w:rFonts w:hint="eastAsia" w:ascii="仿宋_GB2312" w:hAnsi="仿宋_GB2312" w:eastAsia="仿宋_GB2312" w:cs="仿宋_GB2312"/>
          <w:sz w:val="32"/>
          <w:szCs w:val="32"/>
          <w:highlight w:val="none"/>
        </w:rPr>
        <w:t>等问题。</w:t>
      </w:r>
    </w:p>
    <w:p w14:paraId="1D156801">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向塘铁路水厂</w:t>
      </w:r>
      <w:r>
        <w:rPr>
          <w:rFonts w:hint="eastAsia" w:ascii="仿宋_GB2312" w:hAnsi="仿宋_GB2312" w:eastAsia="仿宋_GB2312" w:cs="仿宋_GB2312"/>
          <w:sz w:val="32"/>
          <w:szCs w:val="32"/>
          <w:highlight w:val="none"/>
        </w:rPr>
        <w:t>位于西总干渠西岸，与向塘水厂水相隔，两者相距仅230 m。铁路水厂于1997年改扩建，设计供水规模2万m³/d，现状实际供水量约1万m³/d，供水仅限于铁路部门，包括城镇居民生活用水和工业用水，其中工业用水占比75%。铁路水厂取水水源为西总干渠，水厂出水水质满足铁路部门生产生活用水需求。因城乡供水一体化项目建设需求，近期需供水广福镇、三江镇，但距离较远，存在水压水量不足的问题。</w:t>
      </w:r>
    </w:p>
    <w:p w14:paraId="59439F71">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南新水厂</w:t>
      </w:r>
      <w:r>
        <w:rPr>
          <w:rFonts w:hint="eastAsia" w:ascii="仿宋_GB2312" w:hAnsi="仿宋_GB2312" w:eastAsia="仿宋_GB2312" w:cs="仿宋_GB2312"/>
          <w:sz w:val="32"/>
          <w:szCs w:val="32"/>
          <w:highlight w:val="none"/>
        </w:rPr>
        <w:t>位于南新乡黄渡村附近，原设计供水规模5000 m³/d，南新水厂的总设计供水规模达2.5万m³/d，供水范围覆盖南新乡和蒋巷镇，</w:t>
      </w:r>
      <w:r>
        <w:rPr>
          <w:rFonts w:hint="eastAsia" w:ascii="仿宋_GB2312" w:hAnsi="仿宋_GB2312" w:eastAsia="仿宋_GB2312" w:cs="仿宋_GB2312"/>
          <w:sz w:val="32"/>
          <w:szCs w:val="32"/>
          <w:highlight w:val="none"/>
          <w:lang w:val="en-US" w:eastAsia="zh-CN"/>
        </w:rPr>
        <w:t>供水人口</w:t>
      </w:r>
      <w:r>
        <w:rPr>
          <w:rFonts w:hint="eastAsia" w:ascii="仿宋_GB2312" w:hAnsi="仿宋_GB2312" w:eastAsia="仿宋_GB2312" w:cs="仿宋_GB2312"/>
          <w:sz w:val="32"/>
          <w:szCs w:val="32"/>
          <w:highlight w:val="none"/>
        </w:rPr>
        <w:t>约8</w:t>
      </w:r>
      <w:r>
        <w:rPr>
          <w:rFonts w:hint="eastAsia" w:ascii="仿宋_GB2312" w:hAnsi="仿宋_GB2312" w:eastAsia="仿宋_GB2312" w:cs="仿宋_GB2312"/>
          <w:sz w:val="32"/>
          <w:szCs w:val="32"/>
          <w:highlight w:val="none"/>
          <w:lang w:val="en-US" w:eastAsia="zh-CN"/>
        </w:rPr>
        <w:t>.86</w:t>
      </w:r>
      <w:r>
        <w:rPr>
          <w:rFonts w:hint="eastAsia" w:ascii="仿宋_GB2312" w:hAnsi="仿宋_GB2312" w:eastAsia="仿宋_GB2312" w:cs="仿宋_GB2312"/>
          <w:sz w:val="32"/>
          <w:szCs w:val="32"/>
          <w:highlight w:val="none"/>
        </w:rPr>
        <w:t>万人</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常住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。该工程存在现状管网在线计量、测压设施</w:t>
      </w:r>
      <w:r>
        <w:rPr>
          <w:rFonts w:hint="eastAsia" w:ascii="仿宋_GB2312" w:hAnsi="仿宋_GB2312" w:eastAsia="仿宋_GB2312" w:cs="仿宋_GB2312"/>
          <w:sz w:val="32"/>
          <w:szCs w:val="32"/>
          <w:highlight w:val="none"/>
          <w:lang w:eastAsia="zh"/>
          <w:woUserID w:val="1"/>
        </w:rPr>
        <w:t>不足</w:t>
      </w:r>
      <w:r>
        <w:rPr>
          <w:rFonts w:hint="eastAsia" w:ascii="仿宋_GB2312" w:hAnsi="仿宋_GB2312" w:eastAsia="仿宋_GB2312" w:cs="仿宋_GB2312"/>
          <w:sz w:val="32"/>
          <w:szCs w:val="32"/>
          <w:highlight w:val="none"/>
        </w:rPr>
        <w:t>的问题。</w:t>
      </w:r>
    </w:p>
    <w:p w14:paraId="12488AEB">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泾口水厂</w:t>
      </w:r>
      <w:r>
        <w:rPr>
          <w:rFonts w:hint="eastAsia" w:ascii="仿宋_GB2312" w:hAnsi="仿宋_GB2312" w:eastAsia="仿宋_GB2312" w:cs="仿宋_GB2312"/>
          <w:sz w:val="32"/>
          <w:szCs w:val="32"/>
          <w:highlight w:val="none"/>
        </w:rPr>
        <w:t>位于泾口乡后观胡家村附近，于2012年11月建成并投入运营，水厂占地面积约11亩，设计供水规模1.</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万m³/d，现状实际供水量约3000 m³/d。该工程存在现状管网</w:t>
      </w:r>
      <w:r>
        <w:rPr>
          <w:rFonts w:hint="eastAsia" w:ascii="仿宋_GB2312" w:hAnsi="仿宋_GB2312" w:eastAsia="仿宋_GB2312" w:cs="仿宋_GB2312"/>
          <w:sz w:val="32"/>
          <w:szCs w:val="32"/>
          <w:highlight w:val="none"/>
          <w:lang w:eastAsia="zh"/>
          <w:woUserID w:val="1"/>
        </w:rPr>
        <w:t>分区</w:t>
      </w:r>
      <w:r>
        <w:rPr>
          <w:rFonts w:hint="eastAsia" w:ascii="仿宋_GB2312" w:hAnsi="仿宋_GB2312" w:eastAsia="仿宋_GB2312" w:cs="仿宋_GB2312"/>
          <w:sz w:val="32"/>
          <w:szCs w:val="32"/>
          <w:highlight w:val="none"/>
        </w:rPr>
        <w:t>在线计量、测压设施</w:t>
      </w:r>
      <w:r>
        <w:rPr>
          <w:rFonts w:hint="eastAsia" w:ascii="仿宋_GB2312" w:hAnsi="仿宋_GB2312" w:eastAsia="仿宋_GB2312" w:cs="仿宋_GB2312"/>
          <w:sz w:val="32"/>
          <w:szCs w:val="32"/>
          <w:highlight w:val="none"/>
          <w:lang w:eastAsia="zh"/>
          <w:woUserID w:val="1"/>
        </w:rPr>
        <w:t>不足</w:t>
      </w:r>
      <w:r>
        <w:rPr>
          <w:rFonts w:hint="eastAsia" w:ascii="仿宋_GB2312" w:hAnsi="仿宋_GB2312" w:eastAsia="仿宋_GB2312" w:cs="仿宋_GB2312"/>
          <w:sz w:val="32"/>
          <w:szCs w:val="32"/>
          <w:highlight w:val="none"/>
        </w:rPr>
        <w:t>的问题。</w:t>
      </w:r>
    </w:p>
    <w:p w14:paraId="04061D2F">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塘南水厂</w:t>
      </w:r>
      <w:r>
        <w:rPr>
          <w:rFonts w:hint="eastAsia" w:ascii="仿宋_GB2312" w:hAnsi="仿宋_GB2312" w:eastAsia="仿宋_GB2312" w:cs="仿宋_GB2312"/>
          <w:sz w:val="32"/>
          <w:szCs w:val="32"/>
          <w:highlight w:val="none"/>
        </w:rPr>
        <w:t>位于塘南镇大湖口村附近，2012年11月建成并投入运营，水厂占地面积约12亩，有扩建用地。取水水源为抚河故道，原水水质Ⅲ类，水厂出厂水质满足相关要求。该工程存在现状管网</w:t>
      </w:r>
      <w:r>
        <w:rPr>
          <w:rFonts w:hint="eastAsia" w:ascii="仿宋_GB2312" w:hAnsi="仿宋_GB2312" w:eastAsia="仿宋_GB2312" w:cs="仿宋_GB2312"/>
          <w:sz w:val="32"/>
          <w:szCs w:val="32"/>
          <w:highlight w:val="none"/>
          <w:lang w:eastAsia="zh"/>
          <w:woUserID w:val="1"/>
        </w:rPr>
        <w:t>分区</w:t>
      </w:r>
      <w:r>
        <w:rPr>
          <w:rFonts w:hint="eastAsia" w:ascii="仿宋_GB2312" w:hAnsi="仿宋_GB2312" w:eastAsia="仿宋_GB2312" w:cs="仿宋_GB2312"/>
          <w:sz w:val="32"/>
          <w:szCs w:val="32"/>
          <w:highlight w:val="none"/>
        </w:rPr>
        <w:t>在线计量、测压设施</w:t>
      </w:r>
      <w:r>
        <w:rPr>
          <w:rFonts w:hint="eastAsia" w:ascii="仿宋_GB2312" w:hAnsi="仿宋_GB2312" w:eastAsia="仿宋_GB2312" w:cs="仿宋_GB2312"/>
          <w:sz w:val="32"/>
          <w:szCs w:val="32"/>
          <w:highlight w:val="none"/>
          <w:lang w:eastAsia="zh"/>
          <w:woUserID w:val="1"/>
        </w:rPr>
        <w:t>不足</w:t>
      </w:r>
      <w:r>
        <w:rPr>
          <w:rFonts w:hint="eastAsia" w:ascii="仿宋_GB2312" w:hAnsi="仿宋_GB2312" w:eastAsia="仿宋_GB2312" w:cs="仿宋_GB2312"/>
          <w:sz w:val="32"/>
          <w:szCs w:val="32"/>
          <w:highlight w:val="none"/>
        </w:rPr>
        <w:t>的问题。</w:t>
      </w:r>
    </w:p>
    <w:p w14:paraId="799A564F">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幽兰水厂</w:t>
      </w:r>
      <w:r>
        <w:rPr>
          <w:rFonts w:hint="eastAsia" w:ascii="仿宋_GB2312" w:hAnsi="仿宋_GB2312" w:eastAsia="仿宋_GB2312" w:cs="仿宋_GB2312"/>
          <w:sz w:val="32"/>
          <w:szCs w:val="32"/>
          <w:highlight w:val="none"/>
        </w:rPr>
        <w:t>位于幽兰镇南山村附近，于2011年7月建成并投入运营，水厂占地面积约11亩，有扩建用地。取水水源为抚河，原水水质Ⅲ类，水厂出厂水质满足相关要求。该工程存在现状管网</w:t>
      </w:r>
      <w:r>
        <w:rPr>
          <w:rFonts w:hint="eastAsia" w:ascii="仿宋_GB2312" w:hAnsi="仿宋_GB2312" w:eastAsia="仿宋_GB2312" w:cs="仿宋_GB2312"/>
          <w:sz w:val="32"/>
          <w:szCs w:val="32"/>
          <w:highlight w:val="none"/>
          <w:lang w:eastAsia="zh"/>
          <w:woUserID w:val="1"/>
        </w:rPr>
        <w:t>分区</w:t>
      </w:r>
      <w:r>
        <w:rPr>
          <w:rFonts w:hint="eastAsia" w:ascii="仿宋_GB2312" w:hAnsi="仿宋_GB2312" w:eastAsia="仿宋_GB2312" w:cs="仿宋_GB2312"/>
          <w:sz w:val="32"/>
          <w:szCs w:val="32"/>
          <w:highlight w:val="none"/>
        </w:rPr>
        <w:t>在线计量、测压设施</w:t>
      </w:r>
      <w:r>
        <w:rPr>
          <w:rFonts w:hint="eastAsia" w:ascii="仿宋_GB2312" w:hAnsi="仿宋_GB2312" w:eastAsia="仿宋_GB2312" w:cs="仿宋_GB2312"/>
          <w:sz w:val="32"/>
          <w:szCs w:val="32"/>
          <w:highlight w:val="none"/>
          <w:lang w:eastAsia="zh"/>
          <w:woUserID w:val="1"/>
        </w:rPr>
        <w:t>不足</w:t>
      </w:r>
      <w:r>
        <w:rPr>
          <w:rFonts w:hint="eastAsia" w:ascii="仿宋_GB2312" w:hAnsi="仿宋_GB2312" w:eastAsia="仿宋_GB2312" w:cs="仿宋_GB2312"/>
          <w:sz w:val="32"/>
          <w:szCs w:val="32"/>
          <w:highlight w:val="none"/>
        </w:rPr>
        <w:t>的问题。</w:t>
      </w:r>
    </w:p>
    <w:p w14:paraId="723E9964">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textAlignment w:val="auto"/>
        <w:rPr>
          <w:rFonts w:hint="eastAsia" w:ascii="仿宋_GB2312" w:hAnsi="仿宋_GB2312" w:eastAsia="仿宋_GB2312" w:cs="仿宋_GB2312"/>
          <w:sz w:val="32"/>
          <w:szCs w:val="32"/>
          <w:highlight w:val="none"/>
        </w:rPr>
      </w:pPr>
      <w:bookmarkStart w:id="68" w:name="_Toc25716"/>
      <w:bookmarkStart w:id="69" w:name="_Toc15745"/>
      <w:bookmarkStart w:id="70" w:name="OLE_LINK43"/>
      <w:r>
        <w:rPr>
          <w:rFonts w:hint="eastAsia" w:ascii="仿宋_GB2312" w:hAnsi="仿宋_GB2312" w:eastAsia="仿宋_GB2312" w:cs="仿宋_GB2312"/>
          <w:sz w:val="32"/>
          <w:szCs w:val="32"/>
          <w:highlight w:val="none"/>
        </w:rPr>
        <w:t>单户分散式供水工程</w:t>
      </w:r>
      <w:bookmarkEnd w:id="68"/>
      <w:bookmarkEnd w:id="69"/>
    </w:p>
    <w:bookmarkEnd w:id="70"/>
    <w:p w14:paraId="668F8B4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南昌县</w:t>
      </w:r>
      <w:bookmarkStart w:id="71" w:name="_Hlk216382204"/>
      <w:r>
        <w:rPr>
          <w:rFonts w:hint="eastAsia" w:ascii="仿宋_GB2312" w:hAnsi="仿宋_GB2312" w:eastAsia="仿宋_GB2312" w:cs="仿宋_GB2312"/>
          <w:sz w:val="32"/>
          <w:szCs w:val="32"/>
          <w:highlight w:val="none"/>
        </w:rPr>
        <w:t>分散式供水工程</w:t>
      </w:r>
      <w:bookmarkEnd w:id="71"/>
      <w:r>
        <w:rPr>
          <w:rFonts w:hint="eastAsia" w:ascii="仿宋_GB2312" w:hAnsi="仿宋_GB2312" w:eastAsia="仿宋_GB2312" w:cs="仿宋_GB2312"/>
          <w:sz w:val="32"/>
          <w:szCs w:val="32"/>
          <w:highlight w:val="none"/>
        </w:rPr>
        <w:t>均为</w:t>
      </w:r>
      <w:bookmarkStart w:id="72" w:name="_Hlk216382405"/>
      <w:r>
        <w:rPr>
          <w:rFonts w:hint="eastAsia" w:ascii="仿宋_GB2312" w:hAnsi="仿宋_GB2312" w:eastAsia="仿宋_GB2312" w:cs="仿宋_GB2312"/>
          <w:sz w:val="32"/>
          <w:szCs w:val="32"/>
          <w:highlight w:val="none"/>
        </w:rPr>
        <w:t>单户分散式供水工程</w:t>
      </w:r>
      <w:bookmarkEnd w:id="72"/>
      <w:r>
        <w:rPr>
          <w:rFonts w:hint="eastAsia" w:ascii="仿宋_GB2312" w:hAnsi="仿宋_GB2312" w:eastAsia="仿宋_GB2312" w:cs="仿宋_GB2312"/>
          <w:sz w:val="32"/>
          <w:szCs w:val="32"/>
          <w:highlight w:val="none"/>
        </w:rPr>
        <w:t>，涉及泾口乡、幽兰镇、武阳镇、向塘镇、广福镇、塘南镇、银三角街道、八一乡</w:t>
      </w:r>
      <w:r>
        <w:rPr>
          <w:rFonts w:hint="eastAsia" w:ascii="仿宋_GB2312" w:hAnsi="仿宋_GB2312" w:eastAsia="仿宋_GB2312" w:cs="仿宋_GB2312"/>
          <w:sz w:val="32"/>
          <w:szCs w:val="32"/>
          <w:highlight w:val="none"/>
          <w:lang w:eastAsia="zh"/>
          <w:woUserID w:val="2"/>
        </w:rPr>
        <w:t>、塔城乡9</w:t>
      </w:r>
      <w:r>
        <w:rPr>
          <w:rFonts w:hint="eastAsia" w:ascii="仿宋_GB2312" w:hAnsi="仿宋_GB2312" w:eastAsia="仿宋_GB2312" w:cs="仿宋_GB2312"/>
          <w:sz w:val="32"/>
          <w:szCs w:val="32"/>
          <w:highlight w:val="none"/>
        </w:rPr>
        <w:t>个乡镇</w:t>
      </w:r>
      <w:r>
        <w:rPr>
          <w:rFonts w:hint="eastAsia" w:ascii="仿宋_GB2312" w:hAnsi="仿宋_GB2312" w:eastAsia="仿宋_GB2312" w:cs="仿宋_GB2312"/>
          <w:sz w:val="32"/>
          <w:szCs w:val="32"/>
          <w:highlight w:val="none"/>
          <w:lang w:eastAsia="zh"/>
          <w:woUserID w:val="2"/>
        </w:rPr>
        <w:t>（</w:t>
      </w:r>
      <w:r>
        <w:rPr>
          <w:rFonts w:hint="eastAsia" w:ascii="仿宋_GB2312" w:hAnsi="仿宋_GB2312" w:eastAsia="仿宋_GB2312" w:cs="仿宋_GB2312"/>
          <w:sz w:val="32"/>
          <w:szCs w:val="32"/>
          <w:highlight w:val="none"/>
          <w:woUserID w:val="2"/>
        </w:rPr>
        <w:t>街道</w:t>
      </w:r>
      <w:r>
        <w:rPr>
          <w:rFonts w:hint="eastAsia" w:ascii="仿宋_GB2312" w:hAnsi="仿宋_GB2312" w:eastAsia="仿宋_GB2312" w:cs="仿宋_GB2312"/>
          <w:sz w:val="32"/>
          <w:szCs w:val="32"/>
          <w:highlight w:val="none"/>
          <w:lang w:eastAsia="zh"/>
          <w:woUserID w:val="2"/>
        </w:rPr>
        <w:t>）</w:t>
      </w:r>
      <w:r>
        <w:rPr>
          <w:rFonts w:hint="eastAsia" w:ascii="仿宋_GB2312" w:hAnsi="仿宋_GB2312" w:eastAsia="仿宋_GB2312" w:cs="仿宋_GB2312"/>
          <w:sz w:val="32"/>
          <w:szCs w:val="32"/>
          <w:highlight w:val="none"/>
        </w:rPr>
        <w:t>，水源为浅层地下水，覆盖供水人口93640人，共24921户。本次围绕取水方式、地下水水位、地下水水质、旱季取水情况等关键环节组织排查，梳理出</w:t>
      </w:r>
      <w:r>
        <w:rPr>
          <w:rFonts w:hint="eastAsia" w:ascii="仿宋_GB2312" w:hAnsi="仿宋_GB2312" w:eastAsia="仿宋_GB2312" w:cs="仿宋_GB2312"/>
          <w:sz w:val="32"/>
          <w:szCs w:val="32"/>
          <w:highlight w:val="none"/>
          <w:lang w:val="en-US" w:eastAsia="zh-CN"/>
        </w:rPr>
        <w:t>薄弱环节问题</w:t>
      </w:r>
      <w:r>
        <w:rPr>
          <w:rFonts w:hint="eastAsia" w:ascii="仿宋_GB2312" w:hAnsi="仿宋_GB2312" w:eastAsia="仿宋_GB2312" w:cs="仿宋_GB2312"/>
          <w:sz w:val="32"/>
          <w:szCs w:val="32"/>
          <w:highlight w:val="none"/>
        </w:rPr>
        <w:t>34个（详见</w:t>
      </w: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REF_Ref216266824\h\*MERGEFORMAT</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表5</w:t>
      </w:r>
      <w:r>
        <w:rPr>
          <w:rFonts w:hint="eastAsia" w:ascii="仿宋_GB2312" w:hAnsi="仿宋_GB2312" w:eastAsia="仿宋_GB2312" w:cs="仿宋_GB2312"/>
          <w:sz w:val="32"/>
          <w:szCs w:val="32"/>
          <w:highlight w:val="none"/>
        </w:rPr>
        <w:noBreakHyphen/>
      </w: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sz w:val="32"/>
          <w:szCs w:val="32"/>
          <w:highlight w:val="none"/>
        </w:rPr>
        <w:t>）。</w:t>
      </w:r>
    </w:p>
    <w:p w14:paraId="2BE04AD0">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73" w:name="OLE_LINK6"/>
      <w:bookmarkStart w:id="74" w:name="_Toc19991"/>
      <w:bookmarkStart w:id="75" w:name="_Toc30472"/>
      <w:r>
        <w:rPr>
          <w:rFonts w:hint="eastAsia" w:ascii="楷体" w:hAnsi="楷体" w:eastAsia="楷体" w:cs="楷体"/>
          <w:sz w:val="32"/>
          <w:szCs w:val="32"/>
          <w:highlight w:val="none"/>
        </w:rPr>
        <w:t>摸排结果</w:t>
      </w:r>
      <w:bookmarkEnd w:id="73"/>
      <w:r>
        <w:rPr>
          <w:rFonts w:hint="eastAsia" w:ascii="楷体" w:hAnsi="楷体" w:eastAsia="楷体" w:cs="楷体"/>
          <w:sz w:val="32"/>
          <w:szCs w:val="32"/>
          <w:highlight w:val="none"/>
        </w:rPr>
        <w:t>及存在问题</w:t>
      </w:r>
      <w:bookmarkEnd w:id="74"/>
      <w:bookmarkEnd w:id="75"/>
    </w:p>
    <w:p w14:paraId="4207526D">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一是水源及取水工程问题突出。主要体现为水源保证率不足、存在季节性缺水情况、设备存在老化情况。</w:t>
      </w:r>
    </w:p>
    <w:p w14:paraId="2DF2031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二是</w:t>
      </w:r>
      <w:r>
        <w:rPr>
          <w:rFonts w:hint="eastAsia" w:ascii="仿宋_GB2312" w:hAnsi="仿宋_GB2312" w:eastAsia="仿宋_GB2312" w:cs="仿宋_GB2312"/>
          <w:sz w:val="32"/>
          <w:szCs w:val="32"/>
          <w:highlight w:val="none"/>
          <w:lang w:val="en-US" w:eastAsia="zh-CN"/>
        </w:rPr>
        <w:t>存在</w:t>
      </w:r>
      <w:r>
        <w:rPr>
          <w:rFonts w:hint="eastAsia" w:ascii="仿宋_GB2312" w:hAnsi="仿宋_GB2312" w:eastAsia="仿宋_GB2312" w:cs="仿宋_GB2312"/>
          <w:sz w:val="32"/>
          <w:szCs w:val="32"/>
          <w:highlight w:val="none"/>
        </w:rPr>
        <w:t>输水管网老化现象。各工程的输水管网多采用早期铺设的管材，铺设无序、埋深不足、管径偏小等问题，经长期运行后，部分管段出现破损、接口渗漏等问题，用水高峰时水量水压不足的现象依然存在。</w:t>
      </w:r>
    </w:p>
    <w:p w14:paraId="386DDEAD">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三是净水工程设施</w:t>
      </w:r>
      <w:r>
        <w:rPr>
          <w:rFonts w:hint="eastAsia" w:ascii="仿宋_GB2312" w:hAnsi="仿宋_GB2312" w:eastAsia="仿宋_GB2312" w:cs="仿宋_GB2312"/>
          <w:sz w:val="32"/>
          <w:szCs w:val="32"/>
          <w:highlight w:val="none"/>
          <w:lang w:eastAsia="zh"/>
          <w:woUserID w:val="1"/>
        </w:rPr>
        <w:t>配备标准距离饮用水水质提升目标还有差距</w:t>
      </w:r>
      <w:r>
        <w:rPr>
          <w:rFonts w:hint="eastAsia" w:ascii="仿宋_GB2312" w:hAnsi="仿宋_GB2312" w:eastAsia="仿宋_GB2312" w:cs="仿宋_GB2312"/>
          <w:sz w:val="32"/>
          <w:szCs w:val="32"/>
          <w:highlight w:val="none"/>
        </w:rPr>
        <w:t>。</w:t>
      </w:r>
    </w:p>
    <w:p w14:paraId="6A0471B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四是现有水厂管理主体多样，亟需统筹规划。农村水厂运营管理单位共有4个，未全面统一运管，还存在管网独自成片，无法互联互通的情况，亟需统筹规划。</w:t>
      </w:r>
    </w:p>
    <w:p w14:paraId="478B04F2">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五是供水覆盖不全。全县仍存在一些供水空白区、地下水季节性缺水等现象。</w:t>
      </w:r>
    </w:p>
    <w:p w14:paraId="3B4989BD">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p>
    <w:p w14:paraId="0F35D8A0">
      <w:pPr>
        <w:pStyle w:val="4"/>
        <w:keepNext/>
        <w:keepLines/>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b w:val="0"/>
          <w:bCs/>
          <w:sz w:val="32"/>
          <w:szCs w:val="32"/>
          <w:highlight w:val="none"/>
        </w:rPr>
        <w:sectPr>
          <w:pgSz w:w="11906" w:h="16838"/>
          <w:pgMar w:top="1440" w:right="1800" w:bottom="1440" w:left="1800" w:header="851" w:footer="992" w:gutter="0"/>
          <w:pgNumType w:fmt="decimal"/>
          <w:cols w:space="425" w:num="1"/>
          <w:docGrid w:type="lines" w:linePitch="312" w:charSpace="0"/>
        </w:sectPr>
      </w:pPr>
    </w:p>
    <w:p w14:paraId="1FC4381C">
      <w:pPr>
        <w:pStyle w:val="4"/>
        <w:keepNext/>
        <w:keepLines/>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b w:val="0"/>
          <w:bCs/>
          <w:sz w:val="32"/>
          <w:szCs w:val="32"/>
          <w:highlight w:val="none"/>
        </w:rPr>
      </w:pPr>
      <w:bookmarkStart w:id="76" w:name="_Toc21126"/>
      <w:bookmarkStart w:id="77" w:name="_Toc29458"/>
      <w:r>
        <w:rPr>
          <w:rFonts w:hint="eastAsia" w:ascii="黑体" w:hAnsi="黑体" w:eastAsia="黑体" w:cs="黑体"/>
          <w:b w:val="0"/>
          <w:bCs/>
          <w:sz w:val="32"/>
          <w:szCs w:val="32"/>
          <w:highlight w:val="none"/>
        </w:rPr>
        <w:t>整改任务与目标</w:t>
      </w:r>
      <w:bookmarkEnd w:id="76"/>
      <w:bookmarkEnd w:id="77"/>
    </w:p>
    <w:p w14:paraId="45A956AC">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78" w:name="_Toc12230"/>
      <w:bookmarkStart w:id="79" w:name="_Toc26757"/>
      <w:bookmarkStart w:id="80" w:name="OLE_LINK52"/>
      <w:r>
        <w:rPr>
          <w:rFonts w:hint="eastAsia" w:ascii="楷体" w:hAnsi="楷体" w:eastAsia="楷体" w:cs="楷体"/>
          <w:sz w:val="32"/>
          <w:szCs w:val="32"/>
          <w:highlight w:val="none"/>
        </w:rPr>
        <w:t>整改任务</w:t>
      </w:r>
      <w:bookmarkEnd w:id="78"/>
      <w:bookmarkEnd w:id="79"/>
    </w:p>
    <w:bookmarkEnd w:id="80"/>
    <w:p w14:paraId="2C5E0C8C">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bookmarkStart w:id="81" w:name="OLE_LINK85"/>
      <w:bookmarkStart w:id="82" w:name="OLE_LINK53"/>
      <w:r>
        <w:rPr>
          <w:rFonts w:hint="eastAsia" w:ascii="仿宋_GB2312" w:hAnsi="仿宋_GB2312" w:eastAsia="仿宋_GB2312" w:cs="仿宋_GB2312"/>
          <w:sz w:val="32"/>
          <w:szCs w:val="32"/>
          <w:highlight w:val="none"/>
        </w:rPr>
        <w:t>根据摸排情况，</w:t>
      </w:r>
      <w:r>
        <w:rPr>
          <w:rFonts w:hint="eastAsia" w:ascii="仿宋_GB2312" w:hAnsi="仿宋_GB2312" w:eastAsia="仿宋_GB2312" w:cs="仿宋_GB2312"/>
          <w:sz w:val="32"/>
          <w:szCs w:val="32"/>
          <w:highlight w:val="none"/>
          <w:lang w:val="en-US" w:eastAsia="zh-CN"/>
        </w:rPr>
        <w:t>针对问题整改</w:t>
      </w:r>
      <w:bookmarkEnd w:id="81"/>
      <w:r>
        <w:rPr>
          <w:rFonts w:hint="eastAsia" w:ascii="仿宋_GB2312" w:hAnsi="仿宋_GB2312" w:eastAsia="仿宋_GB2312" w:cs="仿宋_GB2312"/>
          <w:sz w:val="32"/>
          <w:szCs w:val="32"/>
          <w:highlight w:val="none"/>
        </w:rPr>
        <w:t>规模化供水工程8</w:t>
      </w:r>
      <w:r>
        <w:rPr>
          <w:rFonts w:hint="eastAsia" w:ascii="仿宋_GB2312" w:hAnsi="仿宋_GB2312" w:eastAsia="仿宋_GB2312" w:cs="仿宋_GB2312"/>
          <w:sz w:val="32"/>
          <w:szCs w:val="32"/>
          <w:highlight w:val="none"/>
          <w:lang w:val="en-US" w:eastAsia="zh-CN"/>
        </w:rPr>
        <w:t>处</w:t>
      </w:r>
      <w:r>
        <w:rPr>
          <w:rFonts w:hint="eastAsia" w:ascii="仿宋_GB2312" w:hAnsi="仿宋_GB2312" w:eastAsia="仿宋_GB2312" w:cs="仿宋_GB2312"/>
          <w:sz w:val="32"/>
          <w:szCs w:val="32"/>
          <w:highlight w:val="none"/>
        </w:rPr>
        <w:t>，单户分式供水工程</w:t>
      </w:r>
      <w:r>
        <w:rPr>
          <w:rFonts w:hint="eastAsia" w:ascii="仿宋_GB2312" w:hAnsi="仿宋_GB2312" w:eastAsia="仿宋_GB2312" w:cs="仿宋_GB2312"/>
          <w:sz w:val="32"/>
          <w:szCs w:val="32"/>
          <w:highlight w:val="none"/>
          <w:lang w:val="en-US" w:eastAsia="zh-CN"/>
        </w:rPr>
        <w:t>34处</w:t>
      </w:r>
      <w:r>
        <w:rPr>
          <w:rFonts w:hint="eastAsia" w:ascii="仿宋_GB2312" w:hAnsi="仿宋_GB2312" w:eastAsia="仿宋_GB2312" w:cs="仿宋_GB2312"/>
          <w:sz w:val="32"/>
          <w:szCs w:val="32"/>
          <w:highlight w:val="none"/>
        </w:rPr>
        <w:t>，信息化</w:t>
      </w:r>
      <w:r>
        <w:rPr>
          <w:rFonts w:hint="eastAsia" w:ascii="仿宋_GB2312" w:hAnsi="仿宋_GB2312" w:eastAsia="仿宋_GB2312" w:cs="仿宋_GB2312"/>
          <w:sz w:val="32"/>
          <w:szCs w:val="32"/>
          <w:highlight w:val="none"/>
          <w:lang w:val="en-US" w:eastAsia="zh-CN"/>
        </w:rPr>
        <w:t>平台</w:t>
      </w: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处</w:t>
      </w:r>
      <w:r>
        <w:rPr>
          <w:rFonts w:hint="eastAsia" w:ascii="仿宋_GB2312" w:hAnsi="仿宋_GB2312" w:eastAsia="仿宋_GB2312" w:cs="仿宋_GB2312"/>
          <w:sz w:val="32"/>
          <w:szCs w:val="32"/>
          <w:highlight w:val="none"/>
        </w:rPr>
        <w:t>。涉及薄弱环节问题数47个</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其中工程举措46个（水源及取水工程2个，输配水工程42个，净水工程2个），非工程举措问题数量1个。</w:t>
      </w:r>
    </w:p>
    <w:bookmarkEnd w:id="82"/>
    <w:p w14:paraId="16F1A9B2">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所有供水工程需建立水源保护“划、立、治”、水源保证率需达标、保证水源水质达标、更换老旧设备、安装计量装置、对老旧破损管材进行更新改造、对不能正常使用的管道附属设施进行改造、设置净水设施。所有供水工程制定详细的管理制度，</w:t>
      </w:r>
      <w:r>
        <w:rPr>
          <w:rFonts w:hint="eastAsia" w:ascii="仿宋_GB2312" w:hAnsi="仿宋_GB2312" w:eastAsia="仿宋_GB2312" w:cs="仿宋_GB2312"/>
          <w:sz w:val="32"/>
          <w:szCs w:val="32"/>
          <w:highlight w:val="none"/>
          <w:lang w:eastAsia="zh-CN"/>
        </w:rPr>
        <w:t>并</w:t>
      </w:r>
      <w:r>
        <w:rPr>
          <w:rFonts w:hint="eastAsia" w:ascii="仿宋_GB2312" w:hAnsi="仿宋_GB2312" w:eastAsia="仿宋_GB2312" w:cs="仿宋_GB2312"/>
          <w:sz w:val="32"/>
          <w:szCs w:val="32"/>
          <w:highlight w:val="none"/>
        </w:rPr>
        <w:t>依照执行。</w:t>
      </w:r>
    </w:p>
    <w:p w14:paraId="5007C391">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83" w:name="OLE_LINK24"/>
      <w:bookmarkStart w:id="84" w:name="OLE_LINK11"/>
      <w:bookmarkStart w:id="85" w:name="_Toc26370"/>
      <w:bookmarkStart w:id="86" w:name="_Toc15428"/>
      <w:bookmarkStart w:id="87" w:name="OLE_LINK54"/>
      <w:r>
        <w:rPr>
          <w:rFonts w:hint="eastAsia" w:ascii="楷体" w:hAnsi="楷体" w:eastAsia="楷体" w:cs="楷体"/>
          <w:sz w:val="32"/>
          <w:szCs w:val="32"/>
          <w:highlight w:val="none"/>
        </w:rPr>
        <w:t>薄弱环节整治三年行动</w:t>
      </w:r>
      <w:bookmarkEnd w:id="83"/>
      <w:r>
        <w:rPr>
          <w:rFonts w:hint="eastAsia" w:ascii="楷体" w:hAnsi="楷体" w:eastAsia="楷体" w:cs="楷体"/>
          <w:sz w:val="32"/>
          <w:szCs w:val="32"/>
          <w:highlight w:val="none"/>
        </w:rPr>
        <w:t>总体布置</w:t>
      </w:r>
      <w:bookmarkEnd w:id="84"/>
      <w:bookmarkEnd w:id="85"/>
      <w:bookmarkEnd w:id="86"/>
    </w:p>
    <w:bookmarkEnd w:id="87"/>
    <w:p w14:paraId="54E66A77">
      <w:pPr>
        <w:pStyle w:val="6"/>
        <w:keepNext/>
        <w:keepLines/>
        <w:pageBreakBefore w:val="0"/>
        <w:widowControl w:val="0"/>
        <w:numPr>
          <w:ilvl w:val="2"/>
          <w:numId w:val="0"/>
        </w:numPr>
        <w:kinsoku/>
        <w:wordWrap/>
        <w:overflowPunct/>
        <w:topLinePunct w:val="0"/>
        <w:autoSpaceDE/>
        <w:autoSpaceDN/>
        <w:bidi w:val="0"/>
        <w:adjustRightInd/>
        <w:snapToGrid/>
        <w:spacing w:line="560" w:lineRule="exact"/>
        <w:ind w:leftChars="0" w:firstLine="0" w:firstLineChars="0"/>
        <w:textAlignment w:val="auto"/>
        <w:rPr>
          <w:rFonts w:hint="eastAsia" w:ascii="仿宋_GB2312" w:hAnsi="仿宋_GB2312" w:eastAsia="仿宋_GB2312" w:cs="仿宋_GB2312"/>
          <w:sz w:val="32"/>
          <w:szCs w:val="32"/>
        </w:rPr>
      </w:pPr>
      <w:bookmarkStart w:id="88" w:name="_Toc19909"/>
      <w:bookmarkStart w:id="89" w:name="_Toc6777"/>
      <w:bookmarkStart w:id="90" w:name="OLE_LINK55"/>
      <w:r>
        <w:rPr>
          <w:rFonts w:hint="eastAsia" w:ascii="仿宋_GB2312" w:hAnsi="仿宋_GB2312" w:eastAsia="仿宋_GB2312" w:cs="仿宋_GB2312"/>
          <w:sz w:val="32"/>
          <w:szCs w:val="32"/>
        </w:rPr>
        <w:t>4.2.1薄弱环节整治行动2025年布置情况</w:t>
      </w:r>
      <w:bookmarkEnd w:id="88"/>
      <w:bookmarkEnd w:id="89"/>
    </w:p>
    <w:p w14:paraId="268F3A70">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2025年共整治</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个</w:t>
      </w:r>
      <w:r>
        <w:rPr>
          <w:rFonts w:hint="eastAsia" w:ascii="仿宋_GB2312" w:hAnsi="仿宋_GB2312" w:eastAsia="仿宋_GB2312" w:cs="仿宋_GB2312"/>
          <w:sz w:val="32"/>
          <w:szCs w:val="32"/>
          <w:highlight w:val="none"/>
          <w:lang w:val="en-US" w:eastAsia="zh-CN"/>
        </w:rPr>
        <w:t>薄弱环节问题</w:t>
      </w:r>
      <w:r>
        <w:rPr>
          <w:rFonts w:hint="eastAsia" w:ascii="仿宋_GB2312" w:hAnsi="仿宋_GB2312" w:eastAsia="仿宋_GB2312" w:cs="仿宋_GB2312"/>
          <w:sz w:val="32"/>
          <w:szCs w:val="32"/>
          <w:highlight w:val="none"/>
        </w:rPr>
        <w:t>，情况如下：</w:t>
      </w:r>
    </w:p>
    <w:p w14:paraId="5FC1A10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规模化供水工程：</w:t>
      </w:r>
      <w:r>
        <w:rPr>
          <w:rFonts w:hint="eastAsia" w:ascii="仿宋_GB2312" w:hAnsi="仿宋_GB2312" w:eastAsia="仿宋_GB2312" w:cs="仿宋_GB2312"/>
          <w:sz w:val="32"/>
          <w:szCs w:val="32"/>
          <w:highlight w:val="none"/>
          <w:lang w:val="en-US" w:eastAsia="zh-CN"/>
        </w:rPr>
        <w:t>1处水源及取水工程</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1处输配水工程。</w:t>
      </w:r>
      <w:r>
        <w:rPr>
          <w:rFonts w:hint="eastAsia" w:ascii="仿宋_GB2312" w:hAnsi="仿宋_GB2312" w:eastAsia="仿宋_GB2312" w:cs="仿宋_GB2312"/>
          <w:sz w:val="32"/>
          <w:szCs w:val="32"/>
          <w:highlight w:val="none"/>
        </w:rPr>
        <w:t>主要工程内容为</w:t>
      </w:r>
      <w:r>
        <w:rPr>
          <w:rFonts w:hint="eastAsia" w:ascii="仿宋_GB2312" w:hAnsi="仿宋_GB2312" w:eastAsia="仿宋_GB2312" w:cs="仿宋_GB2312"/>
          <w:sz w:val="32"/>
          <w:szCs w:val="32"/>
          <w:highlight w:val="none"/>
          <w:lang w:val="en-US" w:eastAsia="zh-CN"/>
        </w:rPr>
        <w:t>冈上水厂取水设施改造、新建DMA分区计量、测压设施</w:t>
      </w:r>
      <w:r>
        <w:rPr>
          <w:rFonts w:hint="eastAsia" w:ascii="仿宋_GB2312" w:hAnsi="仿宋_GB2312" w:eastAsia="仿宋_GB2312" w:cs="仿宋_GB2312"/>
          <w:sz w:val="32"/>
          <w:szCs w:val="32"/>
          <w:highlight w:val="none"/>
        </w:rPr>
        <w:t>。</w:t>
      </w:r>
    </w:p>
    <w:p w14:paraId="5B686A4C">
      <w:pPr>
        <w:pStyle w:val="6"/>
        <w:keepNext/>
        <w:keepLines/>
        <w:pageBreakBefore w:val="0"/>
        <w:widowControl w:val="0"/>
        <w:numPr>
          <w:ilvl w:val="2"/>
          <w:numId w:val="0"/>
        </w:numPr>
        <w:kinsoku/>
        <w:wordWrap/>
        <w:overflowPunct/>
        <w:topLinePunct w:val="0"/>
        <w:autoSpaceDE/>
        <w:autoSpaceDN/>
        <w:bidi w:val="0"/>
        <w:adjustRightInd/>
        <w:snapToGrid/>
        <w:spacing w:line="560" w:lineRule="exact"/>
        <w:ind w:leftChars="0" w:firstLine="0" w:firstLineChars="0"/>
        <w:textAlignment w:val="auto"/>
        <w:rPr>
          <w:rFonts w:hint="eastAsia" w:ascii="仿宋_GB2312" w:hAnsi="仿宋_GB2312" w:eastAsia="仿宋_GB2312" w:cs="仿宋_GB2312"/>
          <w:sz w:val="32"/>
          <w:szCs w:val="32"/>
        </w:rPr>
      </w:pPr>
      <w:bookmarkStart w:id="91" w:name="_Toc18740"/>
      <w:bookmarkStart w:id="92" w:name="_Toc20734"/>
      <w:r>
        <w:rPr>
          <w:rFonts w:hint="eastAsia" w:ascii="仿宋_GB2312" w:hAnsi="仿宋_GB2312" w:eastAsia="仿宋_GB2312" w:cs="仿宋_GB2312"/>
          <w:sz w:val="32"/>
          <w:szCs w:val="32"/>
        </w:rPr>
        <w:t>4.2.2薄弱环节整治行动2026年布置情况</w:t>
      </w:r>
      <w:bookmarkEnd w:id="91"/>
      <w:bookmarkEnd w:id="92"/>
    </w:p>
    <w:p w14:paraId="4FC2C58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2026年共整治</w:t>
      </w:r>
      <w:r>
        <w:rPr>
          <w:rFonts w:hint="eastAsia" w:ascii="仿宋_GB2312" w:hAnsi="仿宋_GB2312" w:eastAsia="仿宋_GB2312" w:cs="仿宋_GB2312"/>
          <w:sz w:val="32"/>
          <w:szCs w:val="32"/>
          <w:highlight w:val="none"/>
          <w:lang w:val="en-US" w:eastAsia="zh-CN"/>
        </w:rPr>
        <w:t>45</w:t>
      </w:r>
      <w:r>
        <w:rPr>
          <w:rFonts w:hint="eastAsia" w:ascii="仿宋_GB2312" w:hAnsi="仿宋_GB2312" w:eastAsia="仿宋_GB2312" w:cs="仿宋_GB2312"/>
          <w:sz w:val="32"/>
          <w:szCs w:val="32"/>
          <w:highlight w:val="none"/>
        </w:rPr>
        <w:t>个</w:t>
      </w:r>
      <w:r>
        <w:rPr>
          <w:rFonts w:hint="eastAsia" w:ascii="仿宋_GB2312" w:hAnsi="仿宋_GB2312" w:eastAsia="仿宋_GB2312" w:cs="仿宋_GB2312"/>
          <w:sz w:val="32"/>
          <w:szCs w:val="32"/>
          <w:highlight w:val="none"/>
          <w:lang w:val="en-US" w:eastAsia="zh-CN"/>
        </w:rPr>
        <w:t>薄弱环节问题</w:t>
      </w:r>
      <w:r>
        <w:rPr>
          <w:rFonts w:hint="eastAsia" w:ascii="仿宋_GB2312" w:hAnsi="仿宋_GB2312" w:eastAsia="仿宋_GB2312" w:cs="仿宋_GB2312"/>
          <w:sz w:val="32"/>
          <w:szCs w:val="32"/>
          <w:highlight w:val="none"/>
        </w:rPr>
        <w:t>，情况如下：</w:t>
      </w:r>
    </w:p>
    <w:p w14:paraId="7E2045F8">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规模化供水工程：</w:t>
      </w:r>
      <w:r>
        <w:rPr>
          <w:rFonts w:hint="eastAsia" w:ascii="仿宋_GB2312" w:hAnsi="仿宋_GB2312" w:eastAsia="仿宋_GB2312" w:cs="仿宋_GB2312"/>
          <w:sz w:val="32"/>
          <w:szCs w:val="32"/>
          <w:highlight w:val="none"/>
          <w:lang w:val="en-US" w:eastAsia="zh-CN"/>
        </w:rPr>
        <w:t>1处水源及取水工程</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7处输配水工程，2处净水工程。</w:t>
      </w:r>
      <w:r>
        <w:rPr>
          <w:rFonts w:hint="eastAsia" w:ascii="仿宋_GB2312" w:hAnsi="仿宋_GB2312" w:eastAsia="仿宋_GB2312" w:cs="仿宋_GB2312"/>
          <w:sz w:val="32"/>
          <w:szCs w:val="32"/>
          <w:highlight w:val="none"/>
        </w:rPr>
        <w:t>主要工程内容为</w:t>
      </w:r>
      <w:r>
        <w:rPr>
          <w:rFonts w:hint="eastAsia" w:ascii="仿宋_GB2312" w:hAnsi="仿宋_GB2312" w:eastAsia="仿宋_GB2312" w:cs="仿宋_GB2312"/>
          <w:sz w:val="32"/>
          <w:szCs w:val="32"/>
          <w:highlight w:val="none"/>
          <w:lang w:val="en-US" w:eastAsia="zh-CN"/>
        </w:rPr>
        <w:t>黄马水厂取水设施及滤池改造、武阳水厂滤池改造、新建塔城和广福加压泵站、新建7个水厂DMA分区计量、测压设施、新建银三角水厂、规模化供水工程管网延伸等。</w:t>
      </w:r>
    </w:p>
    <w:p w14:paraId="37294650">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单户分散式供水工程：</w:t>
      </w:r>
      <w:r>
        <w:rPr>
          <w:rFonts w:hint="eastAsia" w:ascii="仿宋_GB2312" w:hAnsi="仿宋_GB2312" w:eastAsia="仿宋_GB2312" w:cs="仿宋_GB2312"/>
          <w:sz w:val="32"/>
          <w:szCs w:val="32"/>
          <w:highlight w:val="none"/>
          <w:lang w:val="en-US" w:eastAsia="zh-CN"/>
        </w:rPr>
        <w:t>34</w:t>
      </w:r>
      <w:r>
        <w:rPr>
          <w:rFonts w:hint="eastAsia" w:ascii="仿宋_GB2312" w:hAnsi="仿宋_GB2312" w:eastAsia="仿宋_GB2312" w:cs="仿宋_GB2312"/>
          <w:sz w:val="32"/>
          <w:szCs w:val="32"/>
          <w:highlight w:val="none"/>
        </w:rPr>
        <w:t>个，主要工程内容为规模化供水管网延伸、建设入户管等</w:t>
      </w:r>
      <w:r>
        <w:rPr>
          <w:rFonts w:hint="eastAsia" w:ascii="仿宋_GB2312" w:hAnsi="仿宋_GB2312" w:eastAsia="仿宋_GB2312" w:cs="仿宋_GB2312"/>
          <w:sz w:val="32"/>
          <w:szCs w:val="32"/>
          <w:highlight w:val="none"/>
          <w:lang w:eastAsia="zh-CN"/>
        </w:rPr>
        <w:t>。</w:t>
      </w:r>
    </w:p>
    <w:p w14:paraId="411435E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信息化工程：1个，主要建设内容为农村供水工程信息化平台。</w:t>
      </w:r>
    </w:p>
    <w:bookmarkEnd w:id="90"/>
    <w:p w14:paraId="444D9765">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93" w:name="_Toc25952"/>
      <w:bookmarkStart w:id="94" w:name="_Toc1158"/>
      <w:r>
        <w:rPr>
          <w:rFonts w:hint="eastAsia" w:ascii="楷体" w:hAnsi="楷体" w:eastAsia="楷体" w:cs="楷体"/>
          <w:sz w:val="32"/>
          <w:szCs w:val="32"/>
          <w:highlight w:val="none"/>
        </w:rPr>
        <w:t>整改目标</w:t>
      </w:r>
      <w:bookmarkEnd w:id="93"/>
      <w:bookmarkEnd w:id="94"/>
    </w:p>
    <w:p w14:paraId="6FB5C459">
      <w:pPr>
        <w:pStyle w:val="6"/>
        <w:keepNext/>
        <w:keepLines/>
        <w:pageBreakBefore w:val="0"/>
        <w:widowControl w:val="0"/>
        <w:kinsoku/>
        <w:wordWrap/>
        <w:overflowPunct/>
        <w:topLinePunct w:val="0"/>
        <w:autoSpaceDE/>
        <w:autoSpaceDN/>
        <w:bidi w:val="0"/>
        <w:adjustRightInd/>
        <w:snapToGrid/>
        <w:spacing w:line="560" w:lineRule="exact"/>
        <w:ind w:left="720" w:firstLine="0" w:firstLineChars="0"/>
        <w:textAlignment w:val="auto"/>
        <w:rPr>
          <w:rFonts w:hint="eastAsia" w:ascii="仿宋_GB2312" w:hAnsi="仿宋_GB2312" w:eastAsia="仿宋_GB2312" w:cs="仿宋_GB2312"/>
          <w:sz w:val="32"/>
          <w:szCs w:val="32"/>
          <w:highlight w:val="none"/>
        </w:rPr>
      </w:pPr>
      <w:bookmarkStart w:id="95" w:name="_Toc20836"/>
      <w:bookmarkStart w:id="96" w:name="_Toc16476"/>
      <w:bookmarkStart w:id="97" w:name="OLE_LINK57"/>
      <w:r>
        <w:rPr>
          <w:rFonts w:hint="eastAsia" w:ascii="仿宋_GB2312" w:hAnsi="仿宋_GB2312" w:eastAsia="仿宋_GB2312" w:cs="仿宋_GB2312"/>
          <w:sz w:val="32"/>
          <w:szCs w:val="32"/>
          <w:highlight w:val="none"/>
        </w:rPr>
        <w:t>工程目标</w:t>
      </w:r>
      <w:bookmarkEnd w:id="95"/>
      <w:bookmarkEnd w:id="96"/>
    </w:p>
    <w:p w14:paraId="2B3A6F30">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经过三年行动后，排查发现的问题全部完成整改。南昌县规模化工程覆盖农村人口比例为95%以上，水质合格率100%，每人每天供水量达到100 L以上，农村饮水安全覆盖率100%。</w:t>
      </w:r>
    </w:p>
    <w:bookmarkEnd w:id="97"/>
    <w:p w14:paraId="7BC84ACB">
      <w:pPr>
        <w:pStyle w:val="6"/>
        <w:keepNext/>
        <w:keepLines/>
        <w:pageBreakBefore w:val="0"/>
        <w:widowControl w:val="0"/>
        <w:kinsoku/>
        <w:wordWrap/>
        <w:overflowPunct/>
        <w:topLinePunct w:val="0"/>
        <w:autoSpaceDE/>
        <w:autoSpaceDN/>
        <w:bidi w:val="0"/>
        <w:adjustRightInd/>
        <w:snapToGrid/>
        <w:spacing w:line="560" w:lineRule="exact"/>
        <w:ind w:left="720" w:firstLine="0" w:firstLineChars="0"/>
        <w:textAlignment w:val="auto"/>
        <w:rPr>
          <w:rFonts w:hint="eastAsia" w:ascii="仿宋_GB2312" w:hAnsi="仿宋_GB2312" w:eastAsia="仿宋_GB2312" w:cs="仿宋_GB2312"/>
          <w:sz w:val="32"/>
          <w:szCs w:val="32"/>
          <w:highlight w:val="none"/>
        </w:rPr>
      </w:pPr>
      <w:bookmarkStart w:id="98" w:name="_Toc26417"/>
      <w:bookmarkStart w:id="99" w:name="_Toc5945"/>
      <w:bookmarkStart w:id="100" w:name="OLE_LINK17"/>
      <w:bookmarkStart w:id="101" w:name="OLE_LINK58"/>
      <w:r>
        <w:rPr>
          <w:rFonts w:hint="eastAsia" w:ascii="仿宋_GB2312" w:hAnsi="仿宋_GB2312" w:eastAsia="仿宋_GB2312" w:cs="仿宋_GB2312"/>
          <w:sz w:val="32"/>
          <w:szCs w:val="32"/>
          <w:highlight w:val="none"/>
        </w:rPr>
        <w:t>县域统管目标</w:t>
      </w:r>
      <w:bookmarkEnd w:id="98"/>
      <w:bookmarkEnd w:id="99"/>
      <w:bookmarkEnd w:id="100"/>
    </w:p>
    <w:p w14:paraId="4DEA3D1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规模化供水工程纳入县域统管，由国有企业江西粤海公用事业集团有限公司进行管理运营，组建专业化维修养护队伍，对县域内的所有供水工程实施统一管护。</w:t>
      </w:r>
    </w:p>
    <w:p w14:paraId="2E367233">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推行网格化分片区管理，构建清晰的管理组织架构，形成长效的运营管理机制。推行供水问题“1小时响应、24小时处置”服务标准，问题及时响应率100%，有效处置率100%。</w:t>
      </w:r>
      <w:bookmarkEnd w:id="101"/>
    </w:p>
    <w:p w14:paraId="79C7D601">
      <w:pPr>
        <w:pStyle w:val="4"/>
        <w:keepNext/>
        <w:keepLines/>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b w:val="0"/>
          <w:bCs/>
          <w:sz w:val="32"/>
          <w:szCs w:val="32"/>
          <w:highlight w:val="none"/>
        </w:rPr>
        <w:sectPr>
          <w:pgSz w:w="11906" w:h="16838"/>
          <w:pgMar w:top="1440" w:right="1800" w:bottom="1440" w:left="1800" w:header="851" w:footer="992" w:gutter="0"/>
          <w:pgNumType w:fmt="decimal"/>
          <w:cols w:space="425" w:num="1"/>
          <w:docGrid w:type="lines" w:linePitch="312" w:charSpace="0"/>
        </w:sectPr>
      </w:pPr>
    </w:p>
    <w:p w14:paraId="0269EF82">
      <w:pPr>
        <w:pStyle w:val="4"/>
        <w:keepNext/>
        <w:keepLines/>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b w:val="0"/>
          <w:bCs/>
          <w:sz w:val="32"/>
          <w:szCs w:val="32"/>
          <w:highlight w:val="none"/>
        </w:rPr>
      </w:pPr>
      <w:bookmarkStart w:id="102" w:name="_Toc27453"/>
      <w:bookmarkStart w:id="103" w:name="_Toc22909"/>
      <w:r>
        <w:rPr>
          <w:rFonts w:hint="eastAsia" w:ascii="黑体" w:hAnsi="黑体" w:eastAsia="黑体" w:cs="黑体"/>
          <w:b w:val="0"/>
          <w:bCs/>
          <w:sz w:val="32"/>
          <w:szCs w:val="32"/>
          <w:highlight w:val="none"/>
        </w:rPr>
        <w:t>工程举措</w:t>
      </w:r>
      <w:bookmarkEnd w:id="102"/>
      <w:bookmarkEnd w:id="103"/>
    </w:p>
    <w:p w14:paraId="35160D8B">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104" w:name="_Toc31727"/>
      <w:bookmarkStart w:id="105" w:name="_Toc5801"/>
      <w:bookmarkStart w:id="106" w:name="OLE_LINK45"/>
      <w:bookmarkStart w:id="107" w:name="OLE_LINK61"/>
      <w:r>
        <w:rPr>
          <w:rFonts w:hint="eastAsia" w:ascii="楷体" w:hAnsi="楷体" w:eastAsia="楷体" w:cs="楷体"/>
          <w:sz w:val="32"/>
          <w:szCs w:val="32"/>
          <w:highlight w:val="none"/>
        </w:rPr>
        <w:t>规模化供水工程整改措施</w:t>
      </w:r>
      <w:bookmarkEnd w:id="104"/>
      <w:bookmarkEnd w:id="105"/>
    </w:p>
    <w:bookmarkEnd w:id="106"/>
    <w:p w14:paraId="2A1253A2">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bookmarkStart w:id="108" w:name="OLE_LINK60"/>
      <w:r>
        <w:rPr>
          <w:rFonts w:hint="eastAsia" w:ascii="仿宋_GB2312" w:hAnsi="仿宋_GB2312" w:eastAsia="仿宋_GB2312" w:cs="仿宋_GB2312"/>
          <w:sz w:val="32"/>
          <w:szCs w:val="32"/>
          <w:highlight w:val="none"/>
          <w:lang w:val="en-US" w:eastAsia="zh-CN"/>
        </w:rPr>
        <w:t>涉及工程数</w:t>
      </w:r>
      <w:r>
        <w:rPr>
          <w:rFonts w:hint="eastAsia" w:ascii="仿宋_GB2312" w:hAnsi="仿宋_GB2312" w:eastAsia="仿宋_GB2312" w:cs="仿宋_GB2312"/>
          <w:sz w:val="32"/>
          <w:szCs w:val="32"/>
          <w:highlight w:val="none"/>
        </w:rPr>
        <w:t>8</w:t>
      </w:r>
      <w:r>
        <w:rPr>
          <w:rFonts w:hint="eastAsia" w:ascii="仿宋_GB2312" w:hAnsi="仿宋_GB2312" w:eastAsia="仿宋_GB2312" w:cs="仿宋_GB2312"/>
          <w:sz w:val="32"/>
          <w:szCs w:val="32"/>
          <w:highlight w:val="none"/>
          <w:lang w:val="en-US" w:eastAsia="zh-CN"/>
        </w:rPr>
        <w:t>个，</w:t>
      </w:r>
      <w:r>
        <w:rPr>
          <w:rFonts w:hint="eastAsia" w:ascii="仿宋_GB2312" w:hAnsi="仿宋_GB2312" w:eastAsia="仿宋_GB2312" w:cs="仿宋_GB2312"/>
          <w:sz w:val="32"/>
          <w:szCs w:val="32"/>
          <w:highlight w:val="none"/>
        </w:rPr>
        <w:t>共</w:t>
      </w:r>
      <w:r>
        <w:rPr>
          <w:rFonts w:hint="eastAsia" w:ascii="仿宋_GB2312" w:hAnsi="仿宋_GB2312" w:eastAsia="仿宋_GB2312" w:cs="仿宋_GB2312"/>
          <w:sz w:val="32"/>
          <w:szCs w:val="32"/>
          <w:highlight w:val="none"/>
          <w:lang w:val="en-US" w:eastAsia="zh-CN"/>
        </w:rPr>
        <w:t>12</w:t>
      </w:r>
      <w:r>
        <w:rPr>
          <w:rFonts w:hint="eastAsia" w:ascii="仿宋_GB2312" w:hAnsi="仿宋_GB2312" w:eastAsia="仿宋_GB2312" w:cs="仿宋_GB2312"/>
          <w:sz w:val="32"/>
          <w:szCs w:val="32"/>
          <w:highlight w:val="none"/>
        </w:rPr>
        <w:t>个</w:t>
      </w:r>
      <w:r>
        <w:rPr>
          <w:rFonts w:hint="eastAsia" w:ascii="仿宋_GB2312" w:hAnsi="仿宋_GB2312" w:eastAsia="仿宋_GB2312" w:cs="仿宋_GB2312"/>
          <w:sz w:val="32"/>
          <w:szCs w:val="32"/>
          <w:highlight w:val="none"/>
          <w:lang w:val="en-US" w:eastAsia="zh-CN"/>
        </w:rPr>
        <w:t>薄弱环节问题，工程举措涉及水源及取水工程2个，输配水工程8个，净水工程2个</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具体工程举措见</w:t>
      </w: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REF_Ref216258914\h\*MERGEFORMAT</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表5</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sz w:val="32"/>
          <w:szCs w:val="32"/>
          <w:highlight w:val="none"/>
        </w:rPr>
        <w:t>：</w:t>
      </w:r>
    </w:p>
    <w:p w14:paraId="1C1F38EF">
      <w:pPr>
        <w:spacing w:before="156"/>
        <w:ind w:firstLine="0" w:firstLineChars="0"/>
        <w:jc w:val="center"/>
        <w:rPr>
          <w:rFonts w:hint="eastAsia" w:ascii="仿宋_GB2312" w:hAnsi="仿宋_GB2312" w:eastAsia="仿宋_GB2312" w:cs="仿宋_GB2312"/>
          <w:sz w:val="24"/>
          <w:szCs w:val="24"/>
          <w:highlight w:val="none"/>
        </w:rPr>
      </w:pPr>
      <w:bookmarkStart w:id="109" w:name="_Ref216258914"/>
      <w:r>
        <w:rPr>
          <w:rFonts w:hint="eastAsia" w:ascii="仿宋_GB2312" w:hAnsi="仿宋_GB2312" w:eastAsia="仿宋_GB2312" w:cs="仿宋_GB2312"/>
          <w:sz w:val="24"/>
          <w:szCs w:val="24"/>
          <w:highlight w:val="none"/>
        </w:rPr>
        <w:t>表</w:t>
      </w:r>
      <w:r>
        <w:rPr>
          <w:rFonts w:hint="eastAsia" w:ascii="仿宋_GB2312" w:hAnsi="仿宋_GB2312" w:eastAsia="仿宋_GB2312" w:cs="仿宋_GB2312"/>
          <w:sz w:val="24"/>
          <w:szCs w:val="24"/>
          <w:highlight w:val="none"/>
        </w:rPr>
        <w:fldChar w:fldCharType="begin"/>
      </w:r>
      <w:r>
        <w:rPr>
          <w:rFonts w:hint="eastAsia" w:ascii="仿宋_GB2312" w:hAnsi="仿宋_GB2312" w:eastAsia="仿宋_GB2312" w:cs="仿宋_GB2312"/>
          <w:sz w:val="24"/>
          <w:szCs w:val="24"/>
          <w:highlight w:val="none"/>
        </w:rPr>
        <w:instrText xml:space="preserve">STYLEREF 1\s</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z w:val="24"/>
          <w:szCs w:val="24"/>
          <w:highlight w:val="none"/>
        </w:rPr>
        <w:t>5</w:t>
      </w:r>
      <w:r>
        <w:rPr>
          <w:rFonts w:hint="eastAsia" w:ascii="仿宋_GB2312" w:hAnsi="仿宋_GB2312" w:eastAsia="仿宋_GB2312" w:cs="仿宋_GB2312"/>
          <w:sz w:val="24"/>
          <w:szCs w:val="24"/>
          <w:highlight w:val="none"/>
        </w:rPr>
        <w:fldChar w:fldCharType="end"/>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sz w:val="24"/>
          <w:szCs w:val="24"/>
          <w:highlight w:val="none"/>
        </w:rPr>
        <w:fldChar w:fldCharType="begin"/>
      </w:r>
      <w:r>
        <w:rPr>
          <w:rFonts w:hint="eastAsia" w:ascii="仿宋_GB2312" w:hAnsi="仿宋_GB2312" w:eastAsia="仿宋_GB2312" w:cs="仿宋_GB2312"/>
          <w:sz w:val="24"/>
          <w:szCs w:val="24"/>
          <w:highlight w:val="none"/>
        </w:rPr>
        <w:instrText xml:space="preserve">SEQ表\*ARABIC\s 1</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z w:val="24"/>
          <w:szCs w:val="24"/>
          <w:highlight w:val="none"/>
        </w:rPr>
        <w:t>1</w:t>
      </w:r>
      <w:r>
        <w:rPr>
          <w:rFonts w:hint="eastAsia" w:ascii="仿宋_GB2312" w:hAnsi="仿宋_GB2312" w:eastAsia="仿宋_GB2312" w:cs="仿宋_GB2312"/>
          <w:sz w:val="24"/>
          <w:szCs w:val="24"/>
          <w:highlight w:val="none"/>
        </w:rPr>
        <w:fldChar w:fldCharType="end"/>
      </w:r>
      <w:bookmarkEnd w:id="109"/>
      <w:r>
        <w:rPr>
          <w:rFonts w:hint="eastAsia" w:ascii="仿宋_GB2312" w:hAnsi="仿宋_GB2312" w:eastAsia="仿宋_GB2312" w:cs="仿宋_GB2312"/>
          <w:sz w:val="24"/>
          <w:szCs w:val="24"/>
          <w:highlight w:val="none"/>
        </w:rPr>
        <w:t>规模化供水工程整改措施一览表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35"/>
        <w:gridCol w:w="1125"/>
        <w:gridCol w:w="2729"/>
        <w:gridCol w:w="2347"/>
        <w:gridCol w:w="1822"/>
      </w:tblGrid>
      <w:tr w14:paraId="27AFE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59" w:hRule="atLeast"/>
        </w:trPr>
        <w:tc>
          <w:tcPr>
            <w:tcW w:w="335" w:type="dxa"/>
            <w:vAlign w:val="center"/>
          </w:tcPr>
          <w:p w14:paraId="74D7DC72">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序号</w:t>
            </w:r>
          </w:p>
        </w:tc>
        <w:tc>
          <w:tcPr>
            <w:tcW w:w="1125" w:type="dxa"/>
            <w:vAlign w:val="center"/>
          </w:tcPr>
          <w:p w14:paraId="18310763">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工程名称</w:t>
            </w:r>
          </w:p>
        </w:tc>
        <w:tc>
          <w:tcPr>
            <w:tcW w:w="2729" w:type="dxa"/>
            <w:vAlign w:val="center"/>
          </w:tcPr>
          <w:p w14:paraId="2BF5321D">
            <w:pPr>
              <w:ind w:firstLine="0" w:firstLineChars="0"/>
              <w:jc w:val="center"/>
              <w:rPr>
                <w:rFonts w:hint="eastAsia" w:ascii="仿宋_GB2312" w:hAnsi="仿宋_GB2312" w:eastAsia="仿宋_GB2312" w:cs="仿宋_GB2312"/>
                <w:sz w:val="24"/>
                <w:szCs w:val="24"/>
                <w:highlight w:val="none"/>
              </w:rPr>
            </w:pPr>
            <w:bookmarkStart w:id="110" w:name="OLE_LINK49"/>
            <w:r>
              <w:rPr>
                <w:rFonts w:hint="eastAsia" w:ascii="仿宋_GB2312" w:hAnsi="仿宋_GB2312" w:eastAsia="仿宋_GB2312" w:cs="仿宋_GB2312"/>
                <w:sz w:val="24"/>
                <w:szCs w:val="24"/>
                <w:highlight w:val="none"/>
              </w:rPr>
              <w:t>薄弱环节</w:t>
            </w:r>
            <w:bookmarkEnd w:id="110"/>
          </w:p>
        </w:tc>
        <w:tc>
          <w:tcPr>
            <w:tcW w:w="4169" w:type="dxa"/>
            <w:gridSpan w:val="2"/>
            <w:vAlign w:val="center"/>
          </w:tcPr>
          <w:p w14:paraId="4EF9F149">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整改措施</w:t>
            </w:r>
          </w:p>
        </w:tc>
      </w:tr>
      <w:tr w14:paraId="36F0F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59" w:hRule="atLeast"/>
        </w:trPr>
        <w:tc>
          <w:tcPr>
            <w:tcW w:w="335" w:type="dxa"/>
            <w:vMerge w:val="restart"/>
            <w:vAlign w:val="center"/>
          </w:tcPr>
          <w:p w14:paraId="691DFA2D">
            <w:pPr>
              <w:ind w:firstLine="0" w:firstLineChars="0"/>
              <w:jc w:val="center"/>
              <w:rPr>
                <w:rFonts w:hint="eastAsia" w:ascii="仿宋_GB2312" w:hAnsi="仿宋_GB2312" w:eastAsia="仿宋_GB2312" w:cs="仿宋_GB2312"/>
                <w:color w:val="000000"/>
                <w:sz w:val="24"/>
                <w:szCs w:val="24"/>
                <w:highlight w:val="none"/>
              </w:rPr>
            </w:pPr>
            <w:bookmarkStart w:id="111" w:name="RANGE!A2"/>
            <w:bookmarkStart w:id="112" w:name="_Hlk216277921"/>
            <w:r>
              <w:rPr>
                <w:rFonts w:hint="eastAsia" w:ascii="仿宋_GB2312" w:hAnsi="仿宋_GB2312" w:eastAsia="仿宋_GB2312" w:cs="仿宋_GB2312"/>
                <w:color w:val="000000"/>
                <w:sz w:val="24"/>
                <w:szCs w:val="24"/>
                <w:highlight w:val="none"/>
              </w:rPr>
              <w:t>1</w:t>
            </w:r>
            <w:bookmarkEnd w:id="111"/>
          </w:p>
        </w:tc>
        <w:tc>
          <w:tcPr>
            <w:tcW w:w="1125" w:type="dxa"/>
            <w:vMerge w:val="restart"/>
            <w:vAlign w:val="center"/>
          </w:tcPr>
          <w:p w14:paraId="3E137BF2">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黄马水厂</w:t>
            </w:r>
          </w:p>
        </w:tc>
        <w:tc>
          <w:tcPr>
            <w:tcW w:w="2729" w:type="dxa"/>
            <w:vAlign w:val="center"/>
          </w:tcPr>
          <w:p w14:paraId="0C86C676">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黄马水厂取水头部及引水管频繁堵塞</w:t>
            </w:r>
          </w:p>
        </w:tc>
        <w:tc>
          <w:tcPr>
            <w:tcW w:w="2347" w:type="dxa"/>
            <w:vAlign w:val="center"/>
          </w:tcPr>
          <w:p w14:paraId="297864A6">
            <w:pPr>
              <w:ind w:firstLine="0" w:firstLineChars="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改造</w:t>
            </w:r>
          </w:p>
        </w:tc>
        <w:tc>
          <w:tcPr>
            <w:tcW w:w="1822" w:type="dxa"/>
            <w:vAlign w:val="center"/>
          </w:tcPr>
          <w:p w14:paraId="71EA0B08">
            <w:pPr>
              <w:ind w:firstLine="0" w:firstLineChars="0"/>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水源及取水工程</w:t>
            </w:r>
          </w:p>
        </w:tc>
      </w:tr>
      <w:tr w14:paraId="36211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35" w:hRule="atLeast"/>
        </w:trPr>
        <w:tc>
          <w:tcPr>
            <w:tcW w:w="335" w:type="dxa"/>
            <w:vMerge w:val="continue"/>
            <w:vAlign w:val="center"/>
          </w:tcPr>
          <w:p w14:paraId="1ECEB257">
            <w:pPr>
              <w:ind w:firstLine="0" w:firstLineChars="0"/>
              <w:jc w:val="center"/>
              <w:rPr>
                <w:rFonts w:hint="eastAsia" w:ascii="仿宋_GB2312" w:hAnsi="仿宋_GB2312" w:eastAsia="仿宋_GB2312" w:cs="仿宋_GB2312"/>
                <w:sz w:val="24"/>
                <w:szCs w:val="24"/>
                <w:highlight w:val="none"/>
              </w:rPr>
            </w:pPr>
          </w:p>
        </w:tc>
        <w:tc>
          <w:tcPr>
            <w:tcW w:w="1125" w:type="dxa"/>
            <w:vMerge w:val="continue"/>
            <w:vAlign w:val="center"/>
          </w:tcPr>
          <w:p w14:paraId="7A9C7444">
            <w:pPr>
              <w:ind w:firstLine="0" w:firstLineChars="0"/>
              <w:rPr>
                <w:rFonts w:hint="eastAsia" w:ascii="仿宋_GB2312" w:hAnsi="仿宋_GB2312" w:eastAsia="仿宋_GB2312" w:cs="仿宋_GB2312"/>
                <w:sz w:val="24"/>
                <w:szCs w:val="24"/>
                <w:highlight w:val="none"/>
              </w:rPr>
            </w:pPr>
          </w:p>
        </w:tc>
        <w:tc>
          <w:tcPr>
            <w:tcW w:w="2729" w:type="dxa"/>
            <w:vAlign w:val="center"/>
          </w:tcPr>
          <w:p w14:paraId="5F254B8A">
            <w:pPr>
              <w:ind w:firstLine="0" w:firstLineChars="0"/>
              <w:rPr>
                <w:rFonts w:hint="eastAsia" w:ascii="仿宋_GB2312" w:hAnsi="仿宋_GB2312" w:eastAsia="仿宋_GB2312" w:cs="仿宋_GB2312"/>
                <w:sz w:val="24"/>
                <w:szCs w:val="24"/>
                <w:highlight w:val="none"/>
              </w:rPr>
            </w:pPr>
            <w:bookmarkStart w:id="113" w:name="RANGE!C3"/>
            <w:r>
              <w:rPr>
                <w:rFonts w:hint="eastAsia" w:ascii="仿宋_GB2312" w:hAnsi="仿宋_GB2312" w:eastAsia="仿宋_GB2312" w:cs="仿宋_GB2312"/>
                <w:color w:val="000000"/>
                <w:sz w:val="24"/>
                <w:szCs w:val="24"/>
                <w:highlight w:val="none"/>
              </w:rPr>
              <w:t>黄马水厂滤池老化</w:t>
            </w:r>
            <w:bookmarkEnd w:id="113"/>
          </w:p>
        </w:tc>
        <w:tc>
          <w:tcPr>
            <w:tcW w:w="2347" w:type="dxa"/>
            <w:vAlign w:val="center"/>
          </w:tcPr>
          <w:p w14:paraId="34CFCA45">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改造</w:t>
            </w:r>
          </w:p>
        </w:tc>
        <w:tc>
          <w:tcPr>
            <w:tcW w:w="1822" w:type="dxa"/>
            <w:vAlign w:val="center"/>
          </w:tcPr>
          <w:p w14:paraId="1E7CB6ED">
            <w:pPr>
              <w:ind w:firstLine="0" w:firstLineChars="0"/>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净水工程</w:t>
            </w:r>
          </w:p>
        </w:tc>
      </w:tr>
      <w:tr w14:paraId="4E15A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59" w:hRule="atLeast"/>
        </w:trPr>
        <w:tc>
          <w:tcPr>
            <w:tcW w:w="335" w:type="dxa"/>
            <w:vMerge w:val="continue"/>
            <w:vAlign w:val="center"/>
          </w:tcPr>
          <w:p w14:paraId="77BECE90">
            <w:pPr>
              <w:ind w:firstLine="0" w:firstLineChars="0"/>
              <w:jc w:val="center"/>
              <w:rPr>
                <w:rFonts w:hint="eastAsia" w:ascii="仿宋_GB2312" w:hAnsi="仿宋_GB2312" w:eastAsia="仿宋_GB2312" w:cs="仿宋_GB2312"/>
                <w:color w:val="000000"/>
                <w:sz w:val="24"/>
                <w:szCs w:val="24"/>
                <w:highlight w:val="none"/>
              </w:rPr>
            </w:pPr>
          </w:p>
        </w:tc>
        <w:tc>
          <w:tcPr>
            <w:tcW w:w="1125" w:type="dxa"/>
            <w:vMerge w:val="continue"/>
            <w:vAlign w:val="center"/>
          </w:tcPr>
          <w:p w14:paraId="6E076F62">
            <w:pPr>
              <w:ind w:firstLine="0" w:firstLineChars="0"/>
              <w:rPr>
                <w:rFonts w:hint="eastAsia" w:ascii="仿宋_GB2312" w:hAnsi="仿宋_GB2312" w:eastAsia="仿宋_GB2312" w:cs="仿宋_GB2312"/>
                <w:color w:val="000000"/>
                <w:sz w:val="24"/>
                <w:szCs w:val="24"/>
                <w:highlight w:val="none"/>
              </w:rPr>
            </w:pPr>
          </w:p>
        </w:tc>
        <w:tc>
          <w:tcPr>
            <w:tcW w:w="2729" w:type="dxa"/>
            <w:vAlign w:val="center"/>
          </w:tcPr>
          <w:p w14:paraId="2E48F338">
            <w:pPr>
              <w:ind w:firstLine="0" w:firstLineChars="0"/>
              <w:rPr>
                <w:rFonts w:hint="eastAsia" w:ascii="仿宋_GB2312" w:hAnsi="仿宋_GB2312" w:eastAsia="仿宋_GB2312" w:cs="仿宋_GB2312"/>
                <w:color w:val="000000"/>
                <w:sz w:val="24"/>
                <w:szCs w:val="24"/>
                <w:highlight w:val="none"/>
                <w:lang w:eastAsia="zh"/>
              </w:rPr>
            </w:pPr>
            <w:r>
              <w:rPr>
                <w:rFonts w:hint="eastAsia" w:ascii="仿宋_GB2312" w:hAnsi="仿宋_GB2312" w:eastAsia="仿宋_GB2312" w:cs="仿宋_GB2312"/>
                <w:color w:val="000000"/>
                <w:sz w:val="24"/>
                <w:szCs w:val="24"/>
                <w:highlight w:val="none"/>
                <w:lang w:eastAsia="zh"/>
              </w:rPr>
              <w:t>分区计量、测压设施不足</w:t>
            </w:r>
          </w:p>
        </w:tc>
        <w:tc>
          <w:tcPr>
            <w:tcW w:w="2347" w:type="dxa"/>
            <w:vAlign w:val="center"/>
          </w:tcPr>
          <w:p w14:paraId="3FA7857C">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新建DMA分区计量、测压设施</w:t>
            </w:r>
          </w:p>
        </w:tc>
        <w:tc>
          <w:tcPr>
            <w:tcW w:w="1822" w:type="dxa"/>
            <w:vAlign w:val="center"/>
          </w:tcPr>
          <w:p w14:paraId="2A7928E2">
            <w:pPr>
              <w:ind w:firstLine="0" w:firstLineChars="0"/>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输配水工程</w:t>
            </w:r>
          </w:p>
        </w:tc>
      </w:tr>
      <w:tr w14:paraId="50191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59" w:hRule="atLeast"/>
        </w:trPr>
        <w:tc>
          <w:tcPr>
            <w:tcW w:w="335" w:type="dxa"/>
            <w:vMerge w:val="restart"/>
            <w:vAlign w:val="center"/>
          </w:tcPr>
          <w:p w14:paraId="7FDA7956">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2</w:t>
            </w:r>
          </w:p>
        </w:tc>
        <w:tc>
          <w:tcPr>
            <w:tcW w:w="1125" w:type="dxa"/>
            <w:vMerge w:val="restart"/>
            <w:vAlign w:val="center"/>
          </w:tcPr>
          <w:p w14:paraId="7B6DCE53">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武阳水厂</w:t>
            </w:r>
          </w:p>
        </w:tc>
        <w:tc>
          <w:tcPr>
            <w:tcW w:w="2729" w:type="dxa"/>
            <w:vAlign w:val="center"/>
          </w:tcPr>
          <w:p w14:paraId="3E91508C">
            <w:pPr>
              <w:ind w:firstLine="0" w:firstLineChars="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color w:val="000000"/>
                <w:sz w:val="24"/>
                <w:szCs w:val="24"/>
                <w:highlight w:val="none"/>
              </w:rPr>
              <w:t>武阳水厂滤池老化</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lang w:val="en-US" w:eastAsia="zh-CN"/>
              </w:rPr>
              <w:t>水量不足</w:t>
            </w:r>
          </w:p>
        </w:tc>
        <w:tc>
          <w:tcPr>
            <w:tcW w:w="2347" w:type="dxa"/>
            <w:vAlign w:val="center"/>
          </w:tcPr>
          <w:p w14:paraId="67CBD137">
            <w:pPr>
              <w:ind w:firstLine="0" w:firstLineChars="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滤池</w:t>
            </w:r>
            <w:r>
              <w:rPr>
                <w:rFonts w:hint="eastAsia" w:ascii="仿宋_GB2312" w:hAnsi="仿宋_GB2312" w:eastAsia="仿宋_GB2312" w:cs="仿宋_GB2312"/>
                <w:color w:val="000000"/>
                <w:sz w:val="24"/>
                <w:szCs w:val="24"/>
                <w:highlight w:val="none"/>
              </w:rPr>
              <w:t>改造</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lang w:val="en-US" w:eastAsia="zh-CN"/>
              </w:rPr>
              <w:t>新建银三角水厂</w:t>
            </w:r>
          </w:p>
        </w:tc>
        <w:tc>
          <w:tcPr>
            <w:tcW w:w="1822" w:type="dxa"/>
            <w:vAlign w:val="center"/>
          </w:tcPr>
          <w:p w14:paraId="710B3077">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lang w:val="en-US" w:eastAsia="zh-CN"/>
              </w:rPr>
              <w:t>净水工程</w:t>
            </w:r>
          </w:p>
        </w:tc>
      </w:tr>
      <w:tr w14:paraId="4C92D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34" w:hRule="atLeast"/>
        </w:trPr>
        <w:tc>
          <w:tcPr>
            <w:tcW w:w="335" w:type="dxa"/>
            <w:vMerge w:val="continue"/>
            <w:vAlign w:val="center"/>
          </w:tcPr>
          <w:p w14:paraId="7DCCB8D7">
            <w:pPr>
              <w:ind w:firstLine="0" w:firstLineChars="0"/>
              <w:jc w:val="center"/>
              <w:rPr>
                <w:rFonts w:hint="eastAsia" w:ascii="仿宋_GB2312" w:hAnsi="仿宋_GB2312" w:eastAsia="仿宋_GB2312" w:cs="仿宋_GB2312"/>
                <w:sz w:val="24"/>
                <w:szCs w:val="24"/>
                <w:highlight w:val="none"/>
              </w:rPr>
            </w:pPr>
          </w:p>
        </w:tc>
        <w:tc>
          <w:tcPr>
            <w:tcW w:w="1125" w:type="dxa"/>
            <w:vMerge w:val="continue"/>
            <w:vAlign w:val="center"/>
          </w:tcPr>
          <w:p w14:paraId="31DC1661">
            <w:pPr>
              <w:ind w:firstLine="0" w:firstLineChars="0"/>
              <w:rPr>
                <w:rFonts w:hint="eastAsia" w:ascii="仿宋_GB2312" w:hAnsi="仿宋_GB2312" w:eastAsia="仿宋_GB2312" w:cs="仿宋_GB2312"/>
                <w:sz w:val="24"/>
                <w:szCs w:val="24"/>
                <w:highlight w:val="none"/>
              </w:rPr>
            </w:pPr>
          </w:p>
        </w:tc>
        <w:tc>
          <w:tcPr>
            <w:tcW w:w="2729" w:type="dxa"/>
            <w:vAlign w:val="center"/>
          </w:tcPr>
          <w:p w14:paraId="1EC3B8A3">
            <w:pPr>
              <w:ind w:firstLine="0" w:firstLineChars="0"/>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rPr>
              <w:t>水压不足</w:t>
            </w:r>
            <w:r>
              <w:rPr>
                <w:rFonts w:hint="eastAsia" w:ascii="仿宋_GB2312" w:hAnsi="仿宋_GB2312" w:eastAsia="仿宋_GB2312" w:cs="仿宋_GB2312"/>
                <w:color w:val="000000"/>
                <w:sz w:val="24"/>
                <w:szCs w:val="24"/>
                <w:highlight w:val="none"/>
                <w:lang w:eastAsia="zh-CN"/>
              </w:rPr>
              <w:t>；</w:t>
            </w:r>
          </w:p>
          <w:p w14:paraId="63534DE5">
            <w:pPr>
              <w:ind w:firstLine="0" w:firstLineChars="0"/>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color w:val="000000"/>
                <w:sz w:val="24"/>
                <w:szCs w:val="24"/>
                <w:highlight w:val="none"/>
                <w:lang w:eastAsia="zh"/>
              </w:rPr>
              <w:t>分区计量、测压设施不足</w:t>
            </w:r>
          </w:p>
        </w:tc>
        <w:tc>
          <w:tcPr>
            <w:tcW w:w="2347" w:type="dxa"/>
            <w:vAlign w:val="center"/>
          </w:tcPr>
          <w:p w14:paraId="3907BEA1">
            <w:pPr>
              <w:ind w:firstLine="0" w:firstLineChars="0"/>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rPr>
              <w:t>新建塔城加压泵站</w:t>
            </w:r>
            <w:r>
              <w:rPr>
                <w:rFonts w:hint="eastAsia" w:ascii="仿宋_GB2312" w:hAnsi="仿宋_GB2312" w:eastAsia="仿宋_GB2312" w:cs="仿宋_GB2312"/>
                <w:color w:val="000000"/>
                <w:sz w:val="24"/>
                <w:szCs w:val="24"/>
                <w:highlight w:val="none"/>
                <w:lang w:eastAsia="zh-CN"/>
              </w:rPr>
              <w:t>；</w:t>
            </w:r>
          </w:p>
          <w:p w14:paraId="539A74DB">
            <w:pPr>
              <w:ind w:firstLine="0" w:firstLineChars="0"/>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rPr>
              <w:t>银三角水厂至武阳输水干管</w:t>
            </w:r>
            <w:r>
              <w:rPr>
                <w:rFonts w:hint="eastAsia" w:ascii="仿宋_GB2312" w:hAnsi="仿宋_GB2312" w:eastAsia="仿宋_GB2312" w:cs="仿宋_GB2312"/>
                <w:color w:val="000000"/>
                <w:sz w:val="24"/>
                <w:szCs w:val="24"/>
                <w:highlight w:val="none"/>
                <w:lang w:eastAsia="zh-CN"/>
              </w:rPr>
              <w:t>；</w:t>
            </w:r>
          </w:p>
          <w:p w14:paraId="0DE02F0C">
            <w:pPr>
              <w:ind w:firstLine="0" w:firstLineChars="0"/>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color w:val="000000"/>
                <w:sz w:val="24"/>
                <w:szCs w:val="24"/>
                <w:highlight w:val="none"/>
              </w:rPr>
              <w:t>新建DMA分区计量、测压设施</w:t>
            </w:r>
          </w:p>
        </w:tc>
        <w:tc>
          <w:tcPr>
            <w:tcW w:w="1822" w:type="dxa"/>
            <w:vAlign w:val="center"/>
          </w:tcPr>
          <w:p w14:paraId="7967C600">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lang w:val="en-US" w:eastAsia="zh-CN"/>
              </w:rPr>
              <w:t>输配水工程</w:t>
            </w:r>
          </w:p>
        </w:tc>
      </w:tr>
      <w:bookmarkEnd w:id="112"/>
      <w:tr w14:paraId="3D6DD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59" w:hRule="atLeast"/>
        </w:trPr>
        <w:tc>
          <w:tcPr>
            <w:tcW w:w="335" w:type="dxa"/>
            <w:vMerge w:val="restart"/>
            <w:vAlign w:val="center"/>
          </w:tcPr>
          <w:p w14:paraId="0E71E5C3">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3</w:t>
            </w:r>
          </w:p>
        </w:tc>
        <w:tc>
          <w:tcPr>
            <w:tcW w:w="1125" w:type="dxa"/>
            <w:vMerge w:val="restart"/>
            <w:vAlign w:val="center"/>
          </w:tcPr>
          <w:p w14:paraId="428821BD">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冈上水厂</w:t>
            </w:r>
          </w:p>
        </w:tc>
        <w:tc>
          <w:tcPr>
            <w:tcW w:w="2729" w:type="dxa"/>
            <w:vAlign w:val="center"/>
          </w:tcPr>
          <w:p w14:paraId="7B831677">
            <w:pPr>
              <w:ind w:firstLine="0" w:firstLineChars="0"/>
              <w:rPr>
                <w:rFonts w:hint="eastAsia" w:ascii="仿宋_GB2312" w:hAnsi="仿宋_GB2312" w:eastAsia="仿宋_GB2312" w:cs="仿宋_GB2312"/>
                <w:sz w:val="24"/>
                <w:szCs w:val="24"/>
                <w:highlight w:val="none"/>
              </w:rPr>
            </w:pPr>
            <w:bookmarkStart w:id="114" w:name="RANGE!C5"/>
            <w:r>
              <w:rPr>
                <w:rFonts w:hint="eastAsia" w:ascii="仿宋_GB2312" w:hAnsi="仿宋_GB2312" w:eastAsia="仿宋_GB2312" w:cs="仿宋_GB2312"/>
                <w:color w:val="000000"/>
                <w:sz w:val="24"/>
                <w:szCs w:val="24"/>
                <w:highlight w:val="none"/>
              </w:rPr>
              <w:t>冈上水厂原水取水泵扬程及功率不满足取水</w:t>
            </w:r>
            <w:bookmarkEnd w:id="114"/>
          </w:p>
        </w:tc>
        <w:tc>
          <w:tcPr>
            <w:tcW w:w="2347" w:type="dxa"/>
            <w:vAlign w:val="center"/>
          </w:tcPr>
          <w:p w14:paraId="6F01C605">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更换</w:t>
            </w:r>
          </w:p>
        </w:tc>
        <w:tc>
          <w:tcPr>
            <w:tcW w:w="1822" w:type="dxa"/>
            <w:vAlign w:val="center"/>
          </w:tcPr>
          <w:p w14:paraId="3B049C44">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lang w:val="en-US" w:eastAsia="zh-CN"/>
              </w:rPr>
              <w:t>水源及取水工程</w:t>
            </w:r>
          </w:p>
        </w:tc>
      </w:tr>
      <w:tr w14:paraId="38C77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59" w:hRule="atLeast"/>
        </w:trPr>
        <w:tc>
          <w:tcPr>
            <w:tcW w:w="335" w:type="dxa"/>
            <w:vMerge w:val="continue"/>
            <w:vAlign w:val="center"/>
          </w:tcPr>
          <w:p w14:paraId="26F177AD">
            <w:pPr>
              <w:ind w:firstLine="0" w:firstLineChars="0"/>
              <w:jc w:val="center"/>
              <w:rPr>
                <w:rFonts w:hint="eastAsia" w:ascii="仿宋_GB2312" w:hAnsi="仿宋_GB2312" w:eastAsia="仿宋_GB2312" w:cs="仿宋_GB2312"/>
                <w:sz w:val="24"/>
                <w:szCs w:val="24"/>
                <w:highlight w:val="none"/>
              </w:rPr>
            </w:pPr>
          </w:p>
        </w:tc>
        <w:tc>
          <w:tcPr>
            <w:tcW w:w="1125" w:type="dxa"/>
            <w:vMerge w:val="continue"/>
            <w:vAlign w:val="center"/>
          </w:tcPr>
          <w:p w14:paraId="1888E059">
            <w:pPr>
              <w:ind w:firstLine="0" w:firstLineChars="0"/>
              <w:rPr>
                <w:rFonts w:hint="eastAsia" w:ascii="仿宋_GB2312" w:hAnsi="仿宋_GB2312" w:eastAsia="仿宋_GB2312" w:cs="仿宋_GB2312"/>
                <w:sz w:val="24"/>
                <w:szCs w:val="24"/>
                <w:highlight w:val="none"/>
              </w:rPr>
            </w:pPr>
          </w:p>
        </w:tc>
        <w:tc>
          <w:tcPr>
            <w:tcW w:w="2729" w:type="dxa"/>
            <w:vAlign w:val="center"/>
          </w:tcPr>
          <w:p w14:paraId="56136829">
            <w:pPr>
              <w:ind w:firstLine="0" w:firstLineChars="0"/>
              <w:rPr>
                <w:rFonts w:hint="eastAsia" w:ascii="仿宋_GB2312" w:hAnsi="仿宋_GB2312" w:eastAsia="仿宋_GB2312" w:cs="仿宋_GB2312"/>
                <w:sz w:val="24"/>
                <w:szCs w:val="24"/>
                <w:highlight w:val="none"/>
                <w:lang w:eastAsia="zh"/>
              </w:rPr>
            </w:pPr>
            <w:r>
              <w:rPr>
                <w:rFonts w:hint="eastAsia" w:ascii="仿宋_GB2312" w:hAnsi="仿宋_GB2312" w:eastAsia="仿宋_GB2312" w:cs="仿宋_GB2312"/>
                <w:color w:val="000000"/>
                <w:sz w:val="24"/>
                <w:szCs w:val="24"/>
                <w:highlight w:val="none"/>
                <w:lang w:eastAsia="zh"/>
              </w:rPr>
              <w:t>分区计量、测压设施不足</w:t>
            </w:r>
          </w:p>
        </w:tc>
        <w:tc>
          <w:tcPr>
            <w:tcW w:w="2347" w:type="dxa"/>
            <w:vAlign w:val="center"/>
          </w:tcPr>
          <w:p w14:paraId="418FBEB7">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新建DMA分区计量、测压设施</w:t>
            </w:r>
          </w:p>
        </w:tc>
        <w:tc>
          <w:tcPr>
            <w:tcW w:w="1822" w:type="dxa"/>
            <w:vAlign w:val="center"/>
          </w:tcPr>
          <w:p w14:paraId="1FA97DD5">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lang w:val="en-US" w:eastAsia="zh-CN"/>
              </w:rPr>
              <w:t>输配水工程</w:t>
            </w:r>
          </w:p>
        </w:tc>
      </w:tr>
      <w:tr w14:paraId="05A48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59" w:hRule="atLeast"/>
        </w:trPr>
        <w:tc>
          <w:tcPr>
            <w:tcW w:w="335" w:type="dxa"/>
            <w:vAlign w:val="center"/>
          </w:tcPr>
          <w:p w14:paraId="5046202E">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4</w:t>
            </w:r>
          </w:p>
        </w:tc>
        <w:tc>
          <w:tcPr>
            <w:tcW w:w="1125" w:type="dxa"/>
            <w:vAlign w:val="center"/>
          </w:tcPr>
          <w:p w14:paraId="2D4D7794">
            <w:pPr>
              <w:ind w:firstLine="0" w:firstLineChars="0"/>
              <w:jc w:val="center"/>
              <w:rPr>
                <w:rFonts w:hint="eastAsia" w:ascii="仿宋_GB2312" w:hAnsi="仿宋_GB2312" w:eastAsia="仿宋_GB2312" w:cs="仿宋_GB2312"/>
                <w:sz w:val="24"/>
                <w:szCs w:val="24"/>
                <w:highlight w:val="none"/>
              </w:rPr>
            </w:pPr>
            <w:bookmarkStart w:id="115" w:name="OLE_LINK5"/>
            <w:r>
              <w:rPr>
                <w:rFonts w:hint="eastAsia" w:ascii="仿宋_GB2312" w:hAnsi="仿宋_GB2312" w:eastAsia="仿宋_GB2312" w:cs="仿宋_GB2312"/>
                <w:color w:val="000000"/>
                <w:sz w:val="24"/>
                <w:szCs w:val="24"/>
                <w:highlight w:val="none"/>
              </w:rPr>
              <w:t>向塘铁路水厂</w:t>
            </w:r>
            <w:bookmarkEnd w:id="115"/>
          </w:p>
        </w:tc>
        <w:tc>
          <w:tcPr>
            <w:tcW w:w="2729" w:type="dxa"/>
            <w:vAlign w:val="center"/>
          </w:tcPr>
          <w:p w14:paraId="0FF12DB4">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水压不足（广福镇、三江镇）</w:t>
            </w:r>
          </w:p>
        </w:tc>
        <w:tc>
          <w:tcPr>
            <w:tcW w:w="2347" w:type="dxa"/>
            <w:vAlign w:val="center"/>
          </w:tcPr>
          <w:p w14:paraId="32730A10">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新建广福加压泵站</w:t>
            </w:r>
          </w:p>
        </w:tc>
        <w:tc>
          <w:tcPr>
            <w:tcW w:w="1822" w:type="dxa"/>
            <w:vAlign w:val="center"/>
          </w:tcPr>
          <w:p w14:paraId="04037CC7">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lang w:val="en-US" w:eastAsia="zh-CN"/>
              </w:rPr>
              <w:t>输配水工程</w:t>
            </w:r>
          </w:p>
        </w:tc>
      </w:tr>
      <w:tr w14:paraId="0120E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59" w:hRule="atLeast"/>
        </w:trPr>
        <w:tc>
          <w:tcPr>
            <w:tcW w:w="335" w:type="dxa"/>
            <w:vAlign w:val="center"/>
          </w:tcPr>
          <w:p w14:paraId="3382380F">
            <w:pPr>
              <w:ind w:firstLine="0" w:firstLineChars="0"/>
              <w:jc w:val="center"/>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5</w:t>
            </w:r>
          </w:p>
        </w:tc>
        <w:tc>
          <w:tcPr>
            <w:tcW w:w="1125" w:type="dxa"/>
            <w:vAlign w:val="center"/>
          </w:tcPr>
          <w:p w14:paraId="25AD544C">
            <w:pPr>
              <w:ind w:firstLine="0" w:firstLineChars="0"/>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sz w:val="24"/>
                <w:szCs w:val="24"/>
                <w:highlight w:val="none"/>
              </w:rPr>
              <w:t>南新水厂</w:t>
            </w:r>
          </w:p>
        </w:tc>
        <w:tc>
          <w:tcPr>
            <w:tcW w:w="2729" w:type="dxa"/>
            <w:vAlign w:val="center"/>
          </w:tcPr>
          <w:p w14:paraId="05879E9C">
            <w:pPr>
              <w:ind w:firstLine="0" w:firstLineChars="0"/>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sz w:val="24"/>
                <w:szCs w:val="24"/>
                <w:highlight w:val="none"/>
                <w:lang w:eastAsia="zh"/>
              </w:rPr>
              <w:t>分区计量、测压设施不足</w:t>
            </w:r>
            <w:r>
              <w:rPr>
                <w:rFonts w:hint="eastAsia" w:ascii="仿宋_GB2312" w:hAnsi="仿宋_GB2312" w:eastAsia="仿宋_GB2312" w:cs="仿宋_GB2312"/>
                <w:b w:val="0"/>
                <w:bCs w:val="0"/>
                <w:color w:val="000000"/>
                <w:sz w:val="24"/>
                <w:szCs w:val="24"/>
                <w:highlight w:val="none"/>
              </w:rPr>
              <w:t>（南新乡</w:t>
            </w:r>
            <w:r>
              <w:rPr>
                <w:rFonts w:hint="eastAsia" w:ascii="仿宋_GB2312" w:hAnsi="仿宋_GB2312" w:eastAsia="仿宋_GB2312" w:cs="仿宋_GB2312"/>
                <w:b w:val="0"/>
                <w:bCs w:val="0"/>
                <w:color w:val="000000"/>
                <w:sz w:val="24"/>
                <w:szCs w:val="24"/>
                <w:highlight w:val="none"/>
                <w:lang w:eastAsia="zh-CN"/>
              </w:rPr>
              <w:t>、</w:t>
            </w:r>
            <w:r>
              <w:rPr>
                <w:rFonts w:hint="eastAsia" w:ascii="仿宋_GB2312" w:hAnsi="仿宋_GB2312" w:eastAsia="仿宋_GB2312" w:cs="仿宋_GB2312"/>
                <w:b w:val="0"/>
                <w:bCs w:val="0"/>
                <w:color w:val="000000"/>
                <w:sz w:val="24"/>
                <w:szCs w:val="24"/>
                <w:highlight w:val="none"/>
                <w:lang w:val="en-US" w:eastAsia="zh-CN"/>
              </w:rPr>
              <w:t>蒋巷镇</w:t>
            </w:r>
            <w:r>
              <w:rPr>
                <w:rFonts w:hint="eastAsia" w:ascii="仿宋_GB2312" w:hAnsi="仿宋_GB2312" w:eastAsia="仿宋_GB2312" w:cs="仿宋_GB2312"/>
                <w:b w:val="0"/>
                <w:bCs w:val="0"/>
                <w:color w:val="000000"/>
                <w:sz w:val="24"/>
                <w:szCs w:val="24"/>
                <w:highlight w:val="none"/>
              </w:rPr>
              <w:t>）</w:t>
            </w:r>
          </w:p>
        </w:tc>
        <w:tc>
          <w:tcPr>
            <w:tcW w:w="2347" w:type="dxa"/>
            <w:vAlign w:val="center"/>
          </w:tcPr>
          <w:p w14:paraId="3EDC8696">
            <w:pPr>
              <w:ind w:firstLine="0" w:firstLineChars="0"/>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sz w:val="24"/>
                <w:szCs w:val="24"/>
                <w:highlight w:val="none"/>
              </w:rPr>
              <w:t>新建DMA分区计量、测压设施</w:t>
            </w:r>
          </w:p>
        </w:tc>
        <w:tc>
          <w:tcPr>
            <w:tcW w:w="1822" w:type="dxa"/>
            <w:vAlign w:val="center"/>
          </w:tcPr>
          <w:p w14:paraId="55172273">
            <w:pPr>
              <w:ind w:firstLine="0" w:firstLineChars="0"/>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lang w:val="en-US" w:eastAsia="zh-CN"/>
              </w:rPr>
              <w:t>输配水工程</w:t>
            </w:r>
          </w:p>
        </w:tc>
      </w:tr>
      <w:tr w14:paraId="20251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59" w:hRule="atLeast"/>
        </w:trPr>
        <w:tc>
          <w:tcPr>
            <w:tcW w:w="335" w:type="dxa"/>
            <w:vAlign w:val="center"/>
          </w:tcPr>
          <w:p w14:paraId="60E20DC2">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6</w:t>
            </w:r>
          </w:p>
        </w:tc>
        <w:tc>
          <w:tcPr>
            <w:tcW w:w="1125" w:type="dxa"/>
            <w:vAlign w:val="center"/>
          </w:tcPr>
          <w:p w14:paraId="5B36A8E9">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泾口水厂</w:t>
            </w:r>
          </w:p>
        </w:tc>
        <w:tc>
          <w:tcPr>
            <w:tcW w:w="2729" w:type="dxa"/>
            <w:vAlign w:val="center"/>
          </w:tcPr>
          <w:p w14:paraId="5AFADFE3">
            <w:pPr>
              <w:ind w:firstLine="0" w:firstLineChars="0"/>
              <w:rPr>
                <w:rFonts w:hint="eastAsia" w:ascii="仿宋_GB2312" w:hAnsi="仿宋_GB2312" w:eastAsia="仿宋_GB2312" w:cs="仿宋_GB2312"/>
                <w:sz w:val="24"/>
                <w:szCs w:val="24"/>
                <w:highlight w:val="none"/>
                <w:lang w:eastAsia="zh"/>
              </w:rPr>
            </w:pPr>
            <w:r>
              <w:rPr>
                <w:rFonts w:hint="eastAsia" w:ascii="仿宋_GB2312" w:hAnsi="仿宋_GB2312" w:eastAsia="仿宋_GB2312" w:cs="仿宋_GB2312"/>
                <w:color w:val="000000"/>
                <w:sz w:val="24"/>
                <w:szCs w:val="24"/>
                <w:highlight w:val="none"/>
                <w:lang w:eastAsia="zh"/>
              </w:rPr>
              <w:t>分区计量、测压设施不足</w:t>
            </w:r>
          </w:p>
        </w:tc>
        <w:tc>
          <w:tcPr>
            <w:tcW w:w="2347" w:type="dxa"/>
            <w:vAlign w:val="center"/>
          </w:tcPr>
          <w:p w14:paraId="656C0139">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新建DMA分区计量、测压设施</w:t>
            </w:r>
          </w:p>
        </w:tc>
        <w:tc>
          <w:tcPr>
            <w:tcW w:w="1822" w:type="dxa"/>
            <w:vAlign w:val="center"/>
          </w:tcPr>
          <w:p w14:paraId="011C83DF">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lang w:val="en-US" w:eastAsia="zh-CN"/>
              </w:rPr>
              <w:t>输配水工程</w:t>
            </w:r>
          </w:p>
        </w:tc>
      </w:tr>
      <w:tr w14:paraId="09185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59" w:hRule="atLeast"/>
        </w:trPr>
        <w:tc>
          <w:tcPr>
            <w:tcW w:w="335" w:type="dxa"/>
            <w:vAlign w:val="center"/>
          </w:tcPr>
          <w:p w14:paraId="3D3D3E8A">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7</w:t>
            </w:r>
          </w:p>
        </w:tc>
        <w:tc>
          <w:tcPr>
            <w:tcW w:w="1125" w:type="dxa"/>
            <w:vAlign w:val="center"/>
          </w:tcPr>
          <w:p w14:paraId="71950893">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塘南水厂</w:t>
            </w:r>
          </w:p>
        </w:tc>
        <w:tc>
          <w:tcPr>
            <w:tcW w:w="2729" w:type="dxa"/>
            <w:vAlign w:val="center"/>
          </w:tcPr>
          <w:p w14:paraId="7D76E470">
            <w:pPr>
              <w:ind w:firstLine="0" w:firstLineChars="0"/>
              <w:rPr>
                <w:rFonts w:hint="eastAsia" w:ascii="仿宋_GB2312" w:hAnsi="仿宋_GB2312" w:eastAsia="仿宋_GB2312" w:cs="仿宋_GB2312"/>
                <w:sz w:val="24"/>
                <w:szCs w:val="24"/>
                <w:highlight w:val="none"/>
                <w:lang w:eastAsia="zh"/>
              </w:rPr>
            </w:pPr>
            <w:r>
              <w:rPr>
                <w:rFonts w:hint="eastAsia" w:ascii="仿宋_GB2312" w:hAnsi="仿宋_GB2312" w:eastAsia="仿宋_GB2312" w:cs="仿宋_GB2312"/>
                <w:color w:val="000000"/>
                <w:sz w:val="24"/>
                <w:szCs w:val="24"/>
                <w:highlight w:val="none"/>
                <w:lang w:eastAsia="zh"/>
              </w:rPr>
              <w:t>分区计量、测压设施不足</w:t>
            </w:r>
          </w:p>
        </w:tc>
        <w:tc>
          <w:tcPr>
            <w:tcW w:w="2347" w:type="dxa"/>
            <w:vAlign w:val="center"/>
          </w:tcPr>
          <w:p w14:paraId="55269266">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新建DMA分区计量、测压设施</w:t>
            </w:r>
          </w:p>
        </w:tc>
        <w:tc>
          <w:tcPr>
            <w:tcW w:w="1822" w:type="dxa"/>
            <w:vAlign w:val="center"/>
          </w:tcPr>
          <w:p w14:paraId="0CFD47A5">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lang w:val="en-US" w:eastAsia="zh-CN"/>
              </w:rPr>
              <w:t>输配水工程</w:t>
            </w:r>
          </w:p>
        </w:tc>
      </w:tr>
      <w:tr w14:paraId="5F421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70" w:hRule="atLeast"/>
        </w:trPr>
        <w:tc>
          <w:tcPr>
            <w:tcW w:w="335" w:type="dxa"/>
            <w:vAlign w:val="center"/>
          </w:tcPr>
          <w:p w14:paraId="66970711">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8</w:t>
            </w:r>
          </w:p>
        </w:tc>
        <w:tc>
          <w:tcPr>
            <w:tcW w:w="1125" w:type="dxa"/>
            <w:vAlign w:val="center"/>
          </w:tcPr>
          <w:p w14:paraId="4AF6F98E">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幽兰水厂</w:t>
            </w:r>
          </w:p>
        </w:tc>
        <w:tc>
          <w:tcPr>
            <w:tcW w:w="2729" w:type="dxa"/>
            <w:vAlign w:val="center"/>
          </w:tcPr>
          <w:p w14:paraId="7FD0A961">
            <w:pPr>
              <w:ind w:firstLine="0" w:firstLineChars="0"/>
              <w:rPr>
                <w:rFonts w:hint="eastAsia" w:ascii="仿宋_GB2312" w:hAnsi="仿宋_GB2312" w:eastAsia="仿宋_GB2312" w:cs="仿宋_GB2312"/>
                <w:sz w:val="24"/>
                <w:szCs w:val="24"/>
                <w:highlight w:val="none"/>
                <w:lang w:eastAsia="zh"/>
              </w:rPr>
            </w:pPr>
            <w:r>
              <w:rPr>
                <w:rFonts w:hint="eastAsia" w:ascii="仿宋_GB2312" w:hAnsi="仿宋_GB2312" w:eastAsia="仿宋_GB2312" w:cs="仿宋_GB2312"/>
                <w:color w:val="000000"/>
                <w:sz w:val="24"/>
                <w:szCs w:val="24"/>
                <w:highlight w:val="none"/>
                <w:lang w:eastAsia="zh"/>
              </w:rPr>
              <w:t>分区计量、测压设施不足</w:t>
            </w:r>
          </w:p>
        </w:tc>
        <w:tc>
          <w:tcPr>
            <w:tcW w:w="2347" w:type="dxa"/>
            <w:vAlign w:val="center"/>
          </w:tcPr>
          <w:p w14:paraId="02FEE48E">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新建DMA分区计量、测压设施</w:t>
            </w:r>
          </w:p>
        </w:tc>
        <w:tc>
          <w:tcPr>
            <w:tcW w:w="1822" w:type="dxa"/>
            <w:vAlign w:val="center"/>
          </w:tcPr>
          <w:p w14:paraId="061E0AA1">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lang w:val="en-US" w:eastAsia="zh-CN"/>
              </w:rPr>
              <w:t>输配水工程</w:t>
            </w:r>
          </w:p>
        </w:tc>
      </w:tr>
      <w:bookmarkEnd w:id="107"/>
      <w:bookmarkEnd w:id="108"/>
    </w:tbl>
    <w:p w14:paraId="250A76E7">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116" w:name="_Toc30714"/>
      <w:bookmarkStart w:id="117" w:name="_Toc25257"/>
      <w:bookmarkStart w:id="118" w:name="_Toc29550"/>
      <w:bookmarkStart w:id="119" w:name="OLE_LINK63"/>
      <w:r>
        <w:rPr>
          <w:rFonts w:hint="eastAsia" w:ascii="楷体" w:hAnsi="楷体" w:eastAsia="楷体" w:cs="楷体"/>
          <w:sz w:val="32"/>
          <w:szCs w:val="32"/>
          <w:highlight w:val="none"/>
        </w:rPr>
        <w:t>单户分散式供水工程整改措施</w:t>
      </w:r>
      <w:bookmarkEnd w:id="116"/>
      <w:bookmarkEnd w:id="117"/>
      <w:bookmarkEnd w:id="118"/>
    </w:p>
    <w:p w14:paraId="1D8051E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涉及工程数</w:t>
      </w:r>
      <w:r>
        <w:rPr>
          <w:rFonts w:hint="eastAsia" w:ascii="仿宋_GB2312" w:hAnsi="仿宋_GB2312" w:eastAsia="仿宋_GB2312" w:cs="仿宋_GB2312"/>
          <w:sz w:val="32"/>
          <w:szCs w:val="32"/>
          <w:highlight w:val="none"/>
          <w:lang w:val="en-US" w:eastAsia="zh-CN"/>
        </w:rPr>
        <w:t>34</w:t>
      </w:r>
      <w:r>
        <w:rPr>
          <w:rFonts w:hint="eastAsia" w:ascii="仿宋_GB2312" w:hAnsi="仿宋_GB2312" w:eastAsia="仿宋_GB2312" w:cs="仿宋_GB2312"/>
          <w:sz w:val="32"/>
          <w:szCs w:val="32"/>
          <w:highlight w:val="none"/>
        </w:rPr>
        <w:t>个，共</w:t>
      </w:r>
      <w:r>
        <w:rPr>
          <w:rFonts w:hint="eastAsia" w:ascii="仿宋_GB2312" w:hAnsi="仿宋_GB2312" w:eastAsia="仿宋_GB2312" w:cs="仿宋_GB2312"/>
          <w:sz w:val="32"/>
          <w:szCs w:val="32"/>
          <w:highlight w:val="none"/>
          <w:lang w:val="en-US" w:eastAsia="zh-CN"/>
        </w:rPr>
        <w:t>34</w:t>
      </w:r>
      <w:r>
        <w:rPr>
          <w:rFonts w:hint="eastAsia" w:ascii="仿宋_GB2312" w:hAnsi="仿宋_GB2312" w:eastAsia="仿宋_GB2312" w:cs="仿宋_GB2312"/>
          <w:sz w:val="32"/>
          <w:szCs w:val="32"/>
          <w:highlight w:val="none"/>
        </w:rPr>
        <w:t>个薄弱环节问题数</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工程举措涉及输配水工程34个</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具体工程举措见</w:t>
      </w: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REF_Ref216266824\h\*MERGEFORMAT</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表5</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sz w:val="32"/>
          <w:szCs w:val="32"/>
          <w:highlight w:val="none"/>
        </w:rPr>
        <w:t>。</w:t>
      </w:r>
    </w:p>
    <w:p w14:paraId="5ED3CFC5">
      <w:pPr>
        <w:spacing w:before="156"/>
        <w:ind w:firstLine="0" w:firstLineChars="0"/>
        <w:jc w:val="center"/>
        <w:rPr>
          <w:rFonts w:hint="eastAsia" w:ascii="仿宋_GB2312" w:hAnsi="仿宋_GB2312" w:eastAsia="仿宋_GB2312" w:cs="仿宋_GB2312"/>
          <w:sz w:val="32"/>
          <w:szCs w:val="32"/>
          <w:highlight w:val="none"/>
        </w:rPr>
      </w:pPr>
      <w:bookmarkStart w:id="120" w:name="_Ref216266824"/>
      <w:r>
        <w:rPr>
          <w:rFonts w:hint="eastAsia" w:ascii="仿宋_GB2312" w:hAnsi="仿宋_GB2312" w:eastAsia="仿宋_GB2312" w:cs="仿宋_GB2312"/>
          <w:sz w:val="32"/>
          <w:szCs w:val="32"/>
          <w:highlight w:val="none"/>
        </w:rPr>
        <w:t>表</w:t>
      </w: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STYLEREF 1\s</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5</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sz w:val="32"/>
          <w:szCs w:val="32"/>
          <w:highlight w:val="none"/>
        </w:rPr>
        <w:noBreakHyphen/>
      </w: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SEQ表\*ARABIC\s 1</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rPr>
        <w:fldChar w:fldCharType="end"/>
      </w:r>
      <w:bookmarkEnd w:id="120"/>
      <w:r>
        <w:rPr>
          <w:rFonts w:hint="eastAsia" w:ascii="仿宋_GB2312" w:hAnsi="仿宋_GB2312" w:eastAsia="仿宋_GB2312" w:cs="仿宋_GB2312"/>
          <w:sz w:val="32"/>
          <w:szCs w:val="32"/>
          <w:highlight w:val="none"/>
        </w:rPr>
        <w:t>单户分散式供水工程整改措施一览表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6"/>
        <w:gridCol w:w="3891"/>
        <w:gridCol w:w="1356"/>
        <w:gridCol w:w="2532"/>
      </w:tblGrid>
      <w:tr w14:paraId="6B8DE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blHeader/>
        </w:trPr>
        <w:tc>
          <w:tcPr>
            <w:tcW w:w="0" w:type="auto"/>
            <w:vAlign w:val="center"/>
          </w:tcPr>
          <w:p w14:paraId="7ED69284">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序号</w:t>
            </w:r>
          </w:p>
        </w:tc>
        <w:tc>
          <w:tcPr>
            <w:tcW w:w="3891" w:type="dxa"/>
            <w:vAlign w:val="center"/>
          </w:tcPr>
          <w:p w14:paraId="08BFC14D">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工程名称</w:t>
            </w:r>
          </w:p>
        </w:tc>
        <w:tc>
          <w:tcPr>
            <w:tcW w:w="1356" w:type="dxa"/>
            <w:vAlign w:val="center"/>
          </w:tcPr>
          <w:p w14:paraId="3F675774">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薄弱环节</w:t>
            </w:r>
          </w:p>
        </w:tc>
        <w:tc>
          <w:tcPr>
            <w:tcW w:w="2532" w:type="dxa"/>
            <w:vAlign w:val="center"/>
          </w:tcPr>
          <w:p w14:paraId="7A92C49E">
            <w:pPr>
              <w:ind w:firstLine="0" w:firstLineChars="0"/>
              <w:jc w:val="center"/>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rPr>
              <w:t>整改措施</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输配水工程</w:t>
            </w:r>
            <w:r>
              <w:rPr>
                <w:rFonts w:hint="eastAsia" w:ascii="仿宋_GB2312" w:hAnsi="仿宋_GB2312" w:eastAsia="仿宋_GB2312" w:cs="仿宋_GB2312"/>
                <w:sz w:val="24"/>
                <w:szCs w:val="24"/>
                <w:highlight w:val="none"/>
                <w:lang w:eastAsia="zh-CN"/>
              </w:rPr>
              <w:t>）</w:t>
            </w:r>
          </w:p>
        </w:tc>
      </w:tr>
      <w:tr w14:paraId="664E3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3EB84FD0">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1</w:t>
            </w:r>
          </w:p>
        </w:tc>
        <w:tc>
          <w:tcPr>
            <w:tcW w:w="3891" w:type="dxa"/>
            <w:vAlign w:val="center"/>
          </w:tcPr>
          <w:p w14:paraId="3FDAA4C5">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泾口乡泾口村单户分散式供水工程</w:t>
            </w:r>
          </w:p>
        </w:tc>
        <w:tc>
          <w:tcPr>
            <w:tcW w:w="1356" w:type="dxa"/>
            <w:vAlign w:val="center"/>
          </w:tcPr>
          <w:p w14:paraId="41EFFAF9">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季节性缺水</w:t>
            </w:r>
          </w:p>
        </w:tc>
        <w:tc>
          <w:tcPr>
            <w:tcW w:w="2532" w:type="dxa"/>
            <w:vAlign w:val="center"/>
          </w:tcPr>
          <w:p w14:paraId="2E7C0164">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47EE5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61D9E11C">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2</w:t>
            </w:r>
          </w:p>
        </w:tc>
        <w:tc>
          <w:tcPr>
            <w:tcW w:w="3891" w:type="dxa"/>
            <w:vAlign w:val="center"/>
          </w:tcPr>
          <w:p w14:paraId="7E9DD6DE">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泾口乡北湖村单户分散式供水工程</w:t>
            </w:r>
          </w:p>
        </w:tc>
        <w:tc>
          <w:tcPr>
            <w:tcW w:w="1356" w:type="dxa"/>
            <w:vAlign w:val="center"/>
          </w:tcPr>
          <w:p w14:paraId="084911D7">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季节性缺水</w:t>
            </w:r>
          </w:p>
        </w:tc>
        <w:tc>
          <w:tcPr>
            <w:tcW w:w="2532" w:type="dxa"/>
            <w:vAlign w:val="center"/>
          </w:tcPr>
          <w:p w14:paraId="763E1D13">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13643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1D67AC74">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3</w:t>
            </w:r>
          </w:p>
        </w:tc>
        <w:tc>
          <w:tcPr>
            <w:tcW w:w="3891" w:type="dxa"/>
            <w:vAlign w:val="center"/>
          </w:tcPr>
          <w:p w14:paraId="2D4FAA6B">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泾口乡北山村单户分散式供水工程</w:t>
            </w:r>
          </w:p>
        </w:tc>
        <w:tc>
          <w:tcPr>
            <w:tcW w:w="1356" w:type="dxa"/>
            <w:vAlign w:val="center"/>
          </w:tcPr>
          <w:p w14:paraId="6449A143">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季节性缺水</w:t>
            </w:r>
          </w:p>
        </w:tc>
        <w:tc>
          <w:tcPr>
            <w:tcW w:w="2532" w:type="dxa"/>
            <w:vAlign w:val="center"/>
          </w:tcPr>
          <w:p w14:paraId="77BC71BC">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58A17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069739E8">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4</w:t>
            </w:r>
          </w:p>
        </w:tc>
        <w:tc>
          <w:tcPr>
            <w:tcW w:w="3891" w:type="dxa"/>
            <w:vAlign w:val="center"/>
          </w:tcPr>
          <w:p w14:paraId="72952E2E">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泾口乡大浦村舍里单户分散式供水工程</w:t>
            </w:r>
          </w:p>
        </w:tc>
        <w:tc>
          <w:tcPr>
            <w:tcW w:w="1356" w:type="dxa"/>
            <w:vAlign w:val="center"/>
          </w:tcPr>
          <w:p w14:paraId="60197DB1">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季节性缺水</w:t>
            </w:r>
          </w:p>
        </w:tc>
        <w:tc>
          <w:tcPr>
            <w:tcW w:w="2532" w:type="dxa"/>
            <w:vAlign w:val="center"/>
          </w:tcPr>
          <w:p w14:paraId="4CF7C731">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330B6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46964CFB">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5</w:t>
            </w:r>
          </w:p>
        </w:tc>
        <w:tc>
          <w:tcPr>
            <w:tcW w:w="3891" w:type="dxa"/>
            <w:vAlign w:val="center"/>
          </w:tcPr>
          <w:p w14:paraId="0F142409">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泾口乡东岗村单户分散式供水工程</w:t>
            </w:r>
          </w:p>
        </w:tc>
        <w:tc>
          <w:tcPr>
            <w:tcW w:w="1356" w:type="dxa"/>
            <w:vAlign w:val="center"/>
          </w:tcPr>
          <w:p w14:paraId="12B7217F">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季节性缺水</w:t>
            </w:r>
          </w:p>
        </w:tc>
        <w:tc>
          <w:tcPr>
            <w:tcW w:w="2532" w:type="dxa"/>
            <w:vAlign w:val="center"/>
          </w:tcPr>
          <w:p w14:paraId="168CCFC5">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4B2D8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57BE395B">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6</w:t>
            </w:r>
          </w:p>
        </w:tc>
        <w:tc>
          <w:tcPr>
            <w:tcW w:w="3891" w:type="dxa"/>
            <w:vAlign w:val="center"/>
          </w:tcPr>
          <w:p w14:paraId="37AB4D52">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泾口乡东湖村单户分散式供水工程</w:t>
            </w:r>
          </w:p>
        </w:tc>
        <w:tc>
          <w:tcPr>
            <w:tcW w:w="1356" w:type="dxa"/>
            <w:vAlign w:val="center"/>
          </w:tcPr>
          <w:p w14:paraId="41C226E5">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季节性缺水</w:t>
            </w:r>
          </w:p>
        </w:tc>
        <w:tc>
          <w:tcPr>
            <w:tcW w:w="2532" w:type="dxa"/>
            <w:vAlign w:val="center"/>
          </w:tcPr>
          <w:p w14:paraId="505AEC71">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6A989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2DDF7E86">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7</w:t>
            </w:r>
          </w:p>
        </w:tc>
        <w:tc>
          <w:tcPr>
            <w:tcW w:w="3891" w:type="dxa"/>
            <w:vAlign w:val="center"/>
          </w:tcPr>
          <w:p w14:paraId="7205B6B0">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泾口乡后房村单户分散式供水工程</w:t>
            </w:r>
          </w:p>
        </w:tc>
        <w:tc>
          <w:tcPr>
            <w:tcW w:w="1356" w:type="dxa"/>
            <w:vAlign w:val="center"/>
          </w:tcPr>
          <w:p w14:paraId="603E803C">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季节性缺水</w:t>
            </w:r>
          </w:p>
        </w:tc>
        <w:tc>
          <w:tcPr>
            <w:tcW w:w="2532" w:type="dxa"/>
            <w:vAlign w:val="center"/>
          </w:tcPr>
          <w:p w14:paraId="58CA7934">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0EC94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7C3D01DE">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8</w:t>
            </w:r>
          </w:p>
        </w:tc>
        <w:tc>
          <w:tcPr>
            <w:tcW w:w="3891" w:type="dxa"/>
            <w:vAlign w:val="center"/>
          </w:tcPr>
          <w:p w14:paraId="4B7DA49F">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泾口乡沙湖村单户分散式供水工程</w:t>
            </w:r>
          </w:p>
        </w:tc>
        <w:tc>
          <w:tcPr>
            <w:tcW w:w="1356" w:type="dxa"/>
            <w:vAlign w:val="center"/>
          </w:tcPr>
          <w:p w14:paraId="2E215515">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季节性缺水</w:t>
            </w:r>
          </w:p>
        </w:tc>
        <w:tc>
          <w:tcPr>
            <w:tcW w:w="2532" w:type="dxa"/>
            <w:vAlign w:val="center"/>
          </w:tcPr>
          <w:p w14:paraId="4FC9E0FE">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18D4B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5B834853">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9</w:t>
            </w:r>
          </w:p>
        </w:tc>
        <w:tc>
          <w:tcPr>
            <w:tcW w:w="3891" w:type="dxa"/>
            <w:vAlign w:val="center"/>
          </w:tcPr>
          <w:p w14:paraId="567A8F5D">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幽兰镇幽兰村单户分散式供水工程</w:t>
            </w:r>
          </w:p>
        </w:tc>
        <w:tc>
          <w:tcPr>
            <w:tcW w:w="1356" w:type="dxa"/>
            <w:vAlign w:val="center"/>
          </w:tcPr>
          <w:p w14:paraId="36DABC40">
            <w:pPr>
              <w:ind w:firstLine="0" w:firstLineChars="0"/>
              <w:jc w:val="left"/>
              <w:rPr>
                <w:rFonts w:hint="eastAsia" w:ascii="仿宋_GB2312" w:hAnsi="仿宋_GB2312" w:eastAsia="仿宋_GB2312" w:cs="仿宋_GB2312"/>
                <w:sz w:val="24"/>
                <w:szCs w:val="24"/>
                <w:highlight w:val="none"/>
              </w:rPr>
            </w:pPr>
            <w:bookmarkStart w:id="121" w:name="RANGE!C10"/>
            <w:r>
              <w:rPr>
                <w:rFonts w:hint="eastAsia" w:ascii="仿宋_GB2312" w:hAnsi="仿宋_GB2312" w:eastAsia="仿宋_GB2312" w:cs="仿宋_GB2312"/>
                <w:color w:val="000000"/>
                <w:sz w:val="24"/>
                <w:szCs w:val="24"/>
                <w:highlight w:val="none"/>
              </w:rPr>
              <w:t>地下水水质存在问题</w:t>
            </w:r>
            <w:bookmarkEnd w:id="121"/>
          </w:p>
        </w:tc>
        <w:tc>
          <w:tcPr>
            <w:tcW w:w="2532" w:type="dxa"/>
            <w:vAlign w:val="center"/>
          </w:tcPr>
          <w:p w14:paraId="0074B873">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0D0A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333259B7">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10</w:t>
            </w:r>
          </w:p>
        </w:tc>
        <w:tc>
          <w:tcPr>
            <w:tcW w:w="3891" w:type="dxa"/>
            <w:vAlign w:val="center"/>
          </w:tcPr>
          <w:p w14:paraId="2DA883FB">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幽兰镇竹林村单户分散式供水工程</w:t>
            </w:r>
          </w:p>
        </w:tc>
        <w:tc>
          <w:tcPr>
            <w:tcW w:w="1356" w:type="dxa"/>
            <w:vAlign w:val="center"/>
          </w:tcPr>
          <w:p w14:paraId="34DC02BF">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地下水水质存在问题</w:t>
            </w:r>
          </w:p>
        </w:tc>
        <w:tc>
          <w:tcPr>
            <w:tcW w:w="2532" w:type="dxa"/>
            <w:vAlign w:val="center"/>
          </w:tcPr>
          <w:p w14:paraId="77623150">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3A8B4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70030B50">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11</w:t>
            </w:r>
          </w:p>
        </w:tc>
        <w:tc>
          <w:tcPr>
            <w:tcW w:w="3891" w:type="dxa"/>
            <w:vAlign w:val="center"/>
          </w:tcPr>
          <w:p w14:paraId="3FD5DE5E">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幽兰镇青塘村单户分散式供水工程</w:t>
            </w:r>
          </w:p>
        </w:tc>
        <w:tc>
          <w:tcPr>
            <w:tcW w:w="1356" w:type="dxa"/>
            <w:vAlign w:val="center"/>
          </w:tcPr>
          <w:p w14:paraId="0AC0A1FB">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地下水水质存在问题</w:t>
            </w:r>
          </w:p>
        </w:tc>
        <w:tc>
          <w:tcPr>
            <w:tcW w:w="2532" w:type="dxa"/>
            <w:vAlign w:val="center"/>
          </w:tcPr>
          <w:p w14:paraId="1B12C7E4">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17576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0C56F1FD">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12</w:t>
            </w:r>
          </w:p>
        </w:tc>
        <w:tc>
          <w:tcPr>
            <w:tcW w:w="3891" w:type="dxa"/>
            <w:vAlign w:val="center"/>
          </w:tcPr>
          <w:p w14:paraId="7E8E2849">
            <w:pPr>
              <w:ind w:firstLine="0" w:firstLineChars="0"/>
              <w:jc w:val="left"/>
              <w:rPr>
                <w:rFonts w:hint="eastAsia" w:ascii="仿宋_GB2312" w:hAnsi="仿宋_GB2312" w:eastAsia="仿宋_GB2312" w:cs="仿宋_GB2312"/>
                <w:sz w:val="24"/>
                <w:szCs w:val="24"/>
                <w:highlight w:val="none"/>
              </w:rPr>
            </w:pPr>
            <w:bookmarkStart w:id="122" w:name="RANGE!B13"/>
            <w:r>
              <w:rPr>
                <w:rFonts w:hint="eastAsia" w:ascii="仿宋_GB2312" w:hAnsi="仿宋_GB2312" w:eastAsia="仿宋_GB2312" w:cs="仿宋_GB2312"/>
                <w:color w:val="000000"/>
                <w:sz w:val="24"/>
                <w:szCs w:val="24"/>
                <w:highlight w:val="none"/>
              </w:rPr>
              <w:t>幽兰镇东田村姜家单户分散式供水工程</w:t>
            </w:r>
            <w:bookmarkEnd w:id="122"/>
          </w:p>
        </w:tc>
        <w:tc>
          <w:tcPr>
            <w:tcW w:w="1356" w:type="dxa"/>
            <w:vAlign w:val="center"/>
          </w:tcPr>
          <w:p w14:paraId="2EAC6D42">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地下水水质存在问题</w:t>
            </w:r>
          </w:p>
        </w:tc>
        <w:tc>
          <w:tcPr>
            <w:tcW w:w="2532" w:type="dxa"/>
            <w:vAlign w:val="center"/>
          </w:tcPr>
          <w:p w14:paraId="27E856D1">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7EA53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0E4803FA">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13</w:t>
            </w:r>
          </w:p>
        </w:tc>
        <w:tc>
          <w:tcPr>
            <w:tcW w:w="3891" w:type="dxa"/>
            <w:vAlign w:val="center"/>
          </w:tcPr>
          <w:p w14:paraId="7BCD35AE">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武阳镇西游村单户分散式供水工程</w:t>
            </w:r>
          </w:p>
        </w:tc>
        <w:tc>
          <w:tcPr>
            <w:tcW w:w="1356" w:type="dxa"/>
            <w:vAlign w:val="center"/>
          </w:tcPr>
          <w:p w14:paraId="0A914655">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地下水水质存在问题</w:t>
            </w:r>
          </w:p>
        </w:tc>
        <w:tc>
          <w:tcPr>
            <w:tcW w:w="2532" w:type="dxa"/>
            <w:vAlign w:val="center"/>
          </w:tcPr>
          <w:p w14:paraId="0243D092">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0FFEC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22903572">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14</w:t>
            </w:r>
          </w:p>
        </w:tc>
        <w:tc>
          <w:tcPr>
            <w:tcW w:w="3891" w:type="dxa"/>
            <w:vAlign w:val="center"/>
          </w:tcPr>
          <w:p w14:paraId="115F1D13">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武阳镇椤上村单户分散式供水工程</w:t>
            </w:r>
          </w:p>
        </w:tc>
        <w:tc>
          <w:tcPr>
            <w:tcW w:w="1356" w:type="dxa"/>
            <w:vAlign w:val="center"/>
          </w:tcPr>
          <w:p w14:paraId="08EB2065">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地下水水质存在问题</w:t>
            </w:r>
          </w:p>
        </w:tc>
        <w:tc>
          <w:tcPr>
            <w:tcW w:w="2532" w:type="dxa"/>
            <w:vAlign w:val="center"/>
          </w:tcPr>
          <w:p w14:paraId="3F4688E6">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74522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3B3D7C4D">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15</w:t>
            </w:r>
          </w:p>
        </w:tc>
        <w:tc>
          <w:tcPr>
            <w:tcW w:w="3891" w:type="dxa"/>
            <w:vAlign w:val="center"/>
          </w:tcPr>
          <w:p w14:paraId="40D67522">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向塘镇辜坊村单户分散式供水工程</w:t>
            </w:r>
          </w:p>
        </w:tc>
        <w:tc>
          <w:tcPr>
            <w:tcW w:w="1356" w:type="dxa"/>
            <w:vAlign w:val="center"/>
          </w:tcPr>
          <w:p w14:paraId="7E58670C">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地下水水质存在问题</w:t>
            </w:r>
          </w:p>
        </w:tc>
        <w:tc>
          <w:tcPr>
            <w:tcW w:w="2532" w:type="dxa"/>
            <w:vAlign w:val="center"/>
          </w:tcPr>
          <w:p w14:paraId="2076456D">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7AEAF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0EFE02B6">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16</w:t>
            </w:r>
          </w:p>
        </w:tc>
        <w:tc>
          <w:tcPr>
            <w:tcW w:w="3891" w:type="dxa"/>
            <w:vAlign w:val="center"/>
          </w:tcPr>
          <w:p w14:paraId="41BAC713">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广福镇吴石村单户分散式供水工程</w:t>
            </w:r>
          </w:p>
        </w:tc>
        <w:tc>
          <w:tcPr>
            <w:tcW w:w="1356" w:type="dxa"/>
            <w:vAlign w:val="center"/>
          </w:tcPr>
          <w:p w14:paraId="3573FE44">
            <w:pPr>
              <w:ind w:firstLine="0" w:firstLineChars="0"/>
              <w:jc w:val="left"/>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color w:val="000000"/>
                <w:sz w:val="24"/>
                <w:szCs w:val="24"/>
                <w:highlight w:val="none"/>
              </w:rPr>
              <w:t>地下水水质存在问题</w:t>
            </w:r>
          </w:p>
        </w:tc>
        <w:tc>
          <w:tcPr>
            <w:tcW w:w="2532" w:type="dxa"/>
            <w:vAlign w:val="center"/>
          </w:tcPr>
          <w:p w14:paraId="3DEE52CA">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657BA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225DD1BC">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17</w:t>
            </w:r>
          </w:p>
        </w:tc>
        <w:tc>
          <w:tcPr>
            <w:tcW w:w="3891" w:type="dxa"/>
            <w:vAlign w:val="center"/>
          </w:tcPr>
          <w:p w14:paraId="0443CC7A">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塘南镇新图村单户分散式供水工程</w:t>
            </w:r>
          </w:p>
        </w:tc>
        <w:tc>
          <w:tcPr>
            <w:tcW w:w="1356" w:type="dxa"/>
            <w:vAlign w:val="center"/>
          </w:tcPr>
          <w:p w14:paraId="38081A1F">
            <w:pPr>
              <w:ind w:firstLine="0" w:firstLineChars="0"/>
              <w:jc w:val="left"/>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color w:val="000000"/>
                <w:sz w:val="24"/>
                <w:szCs w:val="24"/>
                <w:highlight w:val="none"/>
              </w:rPr>
              <w:t>地下水水质存在问题</w:t>
            </w:r>
          </w:p>
        </w:tc>
        <w:tc>
          <w:tcPr>
            <w:tcW w:w="2532" w:type="dxa"/>
            <w:vAlign w:val="center"/>
          </w:tcPr>
          <w:p w14:paraId="29DEDAC6">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1ADAE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544EC8DF">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18</w:t>
            </w:r>
          </w:p>
        </w:tc>
        <w:tc>
          <w:tcPr>
            <w:tcW w:w="3891" w:type="dxa"/>
            <w:vAlign w:val="center"/>
          </w:tcPr>
          <w:p w14:paraId="6D7CE4AE">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塘南镇渡口村单户分散式供水工程</w:t>
            </w:r>
          </w:p>
        </w:tc>
        <w:tc>
          <w:tcPr>
            <w:tcW w:w="1356" w:type="dxa"/>
            <w:vAlign w:val="center"/>
          </w:tcPr>
          <w:p w14:paraId="6B5DE6F6">
            <w:pPr>
              <w:ind w:firstLine="0" w:firstLineChars="0"/>
              <w:jc w:val="left"/>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color w:val="000000"/>
                <w:sz w:val="24"/>
                <w:szCs w:val="24"/>
                <w:highlight w:val="none"/>
              </w:rPr>
              <w:t>地下水水质存在问题</w:t>
            </w:r>
          </w:p>
        </w:tc>
        <w:tc>
          <w:tcPr>
            <w:tcW w:w="2532" w:type="dxa"/>
            <w:vAlign w:val="center"/>
          </w:tcPr>
          <w:p w14:paraId="0C726009">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53309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5AAAF937">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19</w:t>
            </w:r>
          </w:p>
        </w:tc>
        <w:tc>
          <w:tcPr>
            <w:tcW w:w="3891" w:type="dxa"/>
            <w:vAlign w:val="center"/>
          </w:tcPr>
          <w:p w14:paraId="6C27901D">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塘南镇和丰村单户分散式供水工程</w:t>
            </w:r>
          </w:p>
        </w:tc>
        <w:tc>
          <w:tcPr>
            <w:tcW w:w="1356" w:type="dxa"/>
            <w:vAlign w:val="center"/>
          </w:tcPr>
          <w:p w14:paraId="44D0A045">
            <w:pPr>
              <w:ind w:firstLine="0" w:firstLineChars="0"/>
              <w:jc w:val="left"/>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color w:val="000000"/>
                <w:sz w:val="24"/>
                <w:szCs w:val="24"/>
                <w:highlight w:val="none"/>
              </w:rPr>
              <w:t>地下水水质存在问题</w:t>
            </w:r>
          </w:p>
        </w:tc>
        <w:tc>
          <w:tcPr>
            <w:tcW w:w="2532" w:type="dxa"/>
            <w:vAlign w:val="center"/>
          </w:tcPr>
          <w:p w14:paraId="12A15B19">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5ADE8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09B89C2A">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20</w:t>
            </w:r>
          </w:p>
        </w:tc>
        <w:tc>
          <w:tcPr>
            <w:tcW w:w="3891" w:type="dxa"/>
            <w:vAlign w:val="center"/>
          </w:tcPr>
          <w:p w14:paraId="0A4BABB6">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银三角街道浒南村单户分散式供水工程</w:t>
            </w:r>
          </w:p>
        </w:tc>
        <w:tc>
          <w:tcPr>
            <w:tcW w:w="1356" w:type="dxa"/>
            <w:vAlign w:val="center"/>
          </w:tcPr>
          <w:p w14:paraId="14071E4A">
            <w:pPr>
              <w:ind w:firstLine="0" w:firstLineChars="0"/>
              <w:jc w:val="left"/>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color w:val="000000"/>
                <w:sz w:val="24"/>
                <w:szCs w:val="24"/>
                <w:highlight w:val="none"/>
              </w:rPr>
              <w:t>地下水水质存在问题</w:t>
            </w:r>
          </w:p>
        </w:tc>
        <w:tc>
          <w:tcPr>
            <w:tcW w:w="2532" w:type="dxa"/>
            <w:vAlign w:val="center"/>
          </w:tcPr>
          <w:p w14:paraId="7021C70F">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22672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2577460E">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21</w:t>
            </w:r>
          </w:p>
        </w:tc>
        <w:tc>
          <w:tcPr>
            <w:tcW w:w="3891" w:type="dxa"/>
            <w:vAlign w:val="center"/>
          </w:tcPr>
          <w:p w14:paraId="6BC75AB4">
            <w:pPr>
              <w:ind w:firstLine="0" w:firstLineChars="0"/>
              <w:jc w:val="left"/>
              <w:rPr>
                <w:rFonts w:hint="eastAsia" w:ascii="仿宋_GB2312" w:hAnsi="仿宋_GB2312" w:eastAsia="仿宋_GB2312" w:cs="仿宋_GB2312"/>
                <w:sz w:val="24"/>
                <w:szCs w:val="24"/>
                <w:highlight w:val="none"/>
              </w:rPr>
            </w:pPr>
            <w:bookmarkStart w:id="123" w:name="RANGE!B22"/>
            <w:r>
              <w:rPr>
                <w:rFonts w:hint="eastAsia" w:ascii="仿宋_GB2312" w:hAnsi="仿宋_GB2312" w:eastAsia="仿宋_GB2312" w:cs="仿宋_GB2312"/>
                <w:color w:val="000000"/>
                <w:sz w:val="24"/>
                <w:szCs w:val="24"/>
                <w:highlight w:val="none"/>
              </w:rPr>
              <w:t>向塘镇西洛村渠龚、渠西单户分散式供水工程</w:t>
            </w:r>
            <w:bookmarkEnd w:id="123"/>
          </w:p>
        </w:tc>
        <w:tc>
          <w:tcPr>
            <w:tcW w:w="1356" w:type="dxa"/>
            <w:vAlign w:val="center"/>
          </w:tcPr>
          <w:p w14:paraId="59EFA081">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地下水水质存在问题</w:t>
            </w:r>
          </w:p>
        </w:tc>
        <w:tc>
          <w:tcPr>
            <w:tcW w:w="2532" w:type="dxa"/>
            <w:vAlign w:val="center"/>
          </w:tcPr>
          <w:p w14:paraId="58ED4B1B">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6A91F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6A5A6173">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22</w:t>
            </w:r>
          </w:p>
        </w:tc>
        <w:tc>
          <w:tcPr>
            <w:tcW w:w="3891" w:type="dxa"/>
            <w:vAlign w:val="center"/>
          </w:tcPr>
          <w:p w14:paraId="28595B62">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塔城乡北洲村单户分散式供水工程</w:t>
            </w:r>
          </w:p>
        </w:tc>
        <w:tc>
          <w:tcPr>
            <w:tcW w:w="1356" w:type="dxa"/>
            <w:vAlign w:val="center"/>
          </w:tcPr>
          <w:p w14:paraId="071399F1">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季节性缺水</w:t>
            </w:r>
          </w:p>
        </w:tc>
        <w:tc>
          <w:tcPr>
            <w:tcW w:w="2532" w:type="dxa"/>
            <w:vAlign w:val="center"/>
          </w:tcPr>
          <w:p w14:paraId="16057624">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17967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7BC0C1DC">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23</w:t>
            </w:r>
          </w:p>
        </w:tc>
        <w:tc>
          <w:tcPr>
            <w:tcW w:w="3891" w:type="dxa"/>
            <w:vAlign w:val="center"/>
          </w:tcPr>
          <w:p w14:paraId="2CDA0D55">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塔城乡湖陂村单户分散式供水工程</w:t>
            </w:r>
          </w:p>
        </w:tc>
        <w:tc>
          <w:tcPr>
            <w:tcW w:w="1356" w:type="dxa"/>
            <w:vAlign w:val="center"/>
          </w:tcPr>
          <w:p w14:paraId="443E4BD2">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季节性缺水</w:t>
            </w:r>
          </w:p>
        </w:tc>
        <w:tc>
          <w:tcPr>
            <w:tcW w:w="2532" w:type="dxa"/>
            <w:vAlign w:val="center"/>
          </w:tcPr>
          <w:p w14:paraId="24EF9E3E">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45E9D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02D43FA7">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24</w:t>
            </w:r>
          </w:p>
        </w:tc>
        <w:tc>
          <w:tcPr>
            <w:tcW w:w="3891" w:type="dxa"/>
            <w:vAlign w:val="center"/>
          </w:tcPr>
          <w:p w14:paraId="239AACBB">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塔城乡青岚村单户分散式供水工程</w:t>
            </w:r>
          </w:p>
        </w:tc>
        <w:tc>
          <w:tcPr>
            <w:tcW w:w="1356" w:type="dxa"/>
            <w:vAlign w:val="center"/>
          </w:tcPr>
          <w:p w14:paraId="7FE14B36">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季节性缺水</w:t>
            </w:r>
          </w:p>
        </w:tc>
        <w:tc>
          <w:tcPr>
            <w:tcW w:w="2532" w:type="dxa"/>
            <w:vAlign w:val="center"/>
          </w:tcPr>
          <w:p w14:paraId="010F6031">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41B4E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37087617">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25</w:t>
            </w:r>
          </w:p>
        </w:tc>
        <w:tc>
          <w:tcPr>
            <w:tcW w:w="3891" w:type="dxa"/>
            <w:vAlign w:val="center"/>
          </w:tcPr>
          <w:p w14:paraId="5AA73283">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塔城乡凤岗村单户分散式供水工程</w:t>
            </w:r>
          </w:p>
        </w:tc>
        <w:tc>
          <w:tcPr>
            <w:tcW w:w="1356" w:type="dxa"/>
            <w:vAlign w:val="center"/>
          </w:tcPr>
          <w:p w14:paraId="5B49A37B">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季节性缺水</w:t>
            </w:r>
          </w:p>
        </w:tc>
        <w:tc>
          <w:tcPr>
            <w:tcW w:w="2532" w:type="dxa"/>
            <w:vAlign w:val="center"/>
          </w:tcPr>
          <w:p w14:paraId="331181FF">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46702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53C5417A">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26</w:t>
            </w:r>
          </w:p>
        </w:tc>
        <w:tc>
          <w:tcPr>
            <w:tcW w:w="3891" w:type="dxa"/>
            <w:vAlign w:val="center"/>
          </w:tcPr>
          <w:p w14:paraId="516DBFE8">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塔城乡南洲村单户分散式供水工程</w:t>
            </w:r>
          </w:p>
        </w:tc>
        <w:tc>
          <w:tcPr>
            <w:tcW w:w="1356" w:type="dxa"/>
            <w:vAlign w:val="center"/>
          </w:tcPr>
          <w:p w14:paraId="7A681845">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季节性缺水</w:t>
            </w:r>
          </w:p>
        </w:tc>
        <w:tc>
          <w:tcPr>
            <w:tcW w:w="2532" w:type="dxa"/>
            <w:vAlign w:val="center"/>
          </w:tcPr>
          <w:p w14:paraId="06780BFA">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65A2D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56C227BB">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27</w:t>
            </w:r>
          </w:p>
        </w:tc>
        <w:tc>
          <w:tcPr>
            <w:tcW w:w="3891" w:type="dxa"/>
            <w:vAlign w:val="center"/>
          </w:tcPr>
          <w:p w14:paraId="717B10EA">
            <w:pPr>
              <w:ind w:firstLine="0" w:firstLineChars="0"/>
              <w:jc w:val="left"/>
              <w:rPr>
                <w:rFonts w:hint="eastAsia" w:ascii="仿宋_GB2312" w:hAnsi="仿宋_GB2312" w:eastAsia="仿宋_GB2312" w:cs="仿宋_GB2312"/>
                <w:sz w:val="24"/>
                <w:szCs w:val="24"/>
                <w:highlight w:val="none"/>
              </w:rPr>
            </w:pPr>
            <w:bookmarkStart w:id="124" w:name="RANGE!B28"/>
            <w:r>
              <w:rPr>
                <w:rFonts w:hint="eastAsia" w:ascii="仿宋_GB2312" w:hAnsi="仿宋_GB2312" w:eastAsia="仿宋_GB2312" w:cs="仿宋_GB2312"/>
                <w:color w:val="000000"/>
                <w:sz w:val="24"/>
                <w:szCs w:val="24"/>
                <w:highlight w:val="none"/>
              </w:rPr>
              <w:t>广福镇广福居委单户分散式供水工程</w:t>
            </w:r>
            <w:bookmarkEnd w:id="124"/>
          </w:p>
        </w:tc>
        <w:tc>
          <w:tcPr>
            <w:tcW w:w="1356" w:type="dxa"/>
            <w:vAlign w:val="center"/>
          </w:tcPr>
          <w:p w14:paraId="1944D500">
            <w:pPr>
              <w:ind w:firstLine="0" w:firstLine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地下水水质存在问题</w:t>
            </w:r>
          </w:p>
        </w:tc>
        <w:tc>
          <w:tcPr>
            <w:tcW w:w="2532" w:type="dxa"/>
            <w:vAlign w:val="center"/>
          </w:tcPr>
          <w:p w14:paraId="00AC1B60">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1CB72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3262C09B">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28</w:t>
            </w:r>
          </w:p>
        </w:tc>
        <w:tc>
          <w:tcPr>
            <w:tcW w:w="3891" w:type="dxa"/>
            <w:vAlign w:val="center"/>
          </w:tcPr>
          <w:p w14:paraId="1183D01B">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广福镇广福村单户分散式供水工程</w:t>
            </w:r>
          </w:p>
        </w:tc>
        <w:tc>
          <w:tcPr>
            <w:tcW w:w="1356" w:type="dxa"/>
            <w:vAlign w:val="center"/>
          </w:tcPr>
          <w:p w14:paraId="08D34E77">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地下水水质存在问题</w:t>
            </w:r>
          </w:p>
        </w:tc>
        <w:tc>
          <w:tcPr>
            <w:tcW w:w="2532" w:type="dxa"/>
            <w:vAlign w:val="center"/>
          </w:tcPr>
          <w:p w14:paraId="2D75D69E">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6493A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39225DCC">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29</w:t>
            </w:r>
          </w:p>
        </w:tc>
        <w:tc>
          <w:tcPr>
            <w:tcW w:w="3891" w:type="dxa"/>
            <w:vAlign w:val="center"/>
          </w:tcPr>
          <w:p w14:paraId="7675273C">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广福镇板湖村单户分散式供水工程</w:t>
            </w:r>
          </w:p>
        </w:tc>
        <w:tc>
          <w:tcPr>
            <w:tcW w:w="1356" w:type="dxa"/>
            <w:vAlign w:val="center"/>
          </w:tcPr>
          <w:p w14:paraId="076F179F">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地下水水质存在问题</w:t>
            </w:r>
          </w:p>
        </w:tc>
        <w:tc>
          <w:tcPr>
            <w:tcW w:w="2532" w:type="dxa"/>
            <w:vAlign w:val="center"/>
          </w:tcPr>
          <w:p w14:paraId="4BE9D4C0">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3895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0F7EC374">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30</w:t>
            </w:r>
          </w:p>
        </w:tc>
        <w:tc>
          <w:tcPr>
            <w:tcW w:w="3891" w:type="dxa"/>
            <w:vAlign w:val="center"/>
          </w:tcPr>
          <w:p w14:paraId="0D1CEA4C">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广福镇江家村单户分散式供水工程</w:t>
            </w:r>
          </w:p>
        </w:tc>
        <w:tc>
          <w:tcPr>
            <w:tcW w:w="1356" w:type="dxa"/>
            <w:vAlign w:val="center"/>
          </w:tcPr>
          <w:p w14:paraId="29551F15">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地下水水质存在问题</w:t>
            </w:r>
          </w:p>
        </w:tc>
        <w:tc>
          <w:tcPr>
            <w:tcW w:w="2532" w:type="dxa"/>
            <w:vAlign w:val="center"/>
          </w:tcPr>
          <w:p w14:paraId="41962851">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0694C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5D6AF940">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31</w:t>
            </w:r>
          </w:p>
        </w:tc>
        <w:tc>
          <w:tcPr>
            <w:tcW w:w="3891" w:type="dxa"/>
            <w:vAlign w:val="center"/>
          </w:tcPr>
          <w:p w14:paraId="6BE8F12D">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八一乡钱溪村单户分散式供水工程</w:t>
            </w:r>
          </w:p>
        </w:tc>
        <w:tc>
          <w:tcPr>
            <w:tcW w:w="1356" w:type="dxa"/>
            <w:vAlign w:val="center"/>
          </w:tcPr>
          <w:p w14:paraId="62793EE3">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地下水水质存在问题</w:t>
            </w:r>
          </w:p>
        </w:tc>
        <w:tc>
          <w:tcPr>
            <w:tcW w:w="2532" w:type="dxa"/>
            <w:vAlign w:val="center"/>
          </w:tcPr>
          <w:p w14:paraId="606E67E6">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20843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15F4BEDF">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32</w:t>
            </w:r>
          </w:p>
        </w:tc>
        <w:tc>
          <w:tcPr>
            <w:tcW w:w="3891" w:type="dxa"/>
            <w:vAlign w:val="center"/>
          </w:tcPr>
          <w:p w14:paraId="694B2ADB">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八一乡淡溪村单户分散式供水工程</w:t>
            </w:r>
          </w:p>
        </w:tc>
        <w:tc>
          <w:tcPr>
            <w:tcW w:w="1356" w:type="dxa"/>
            <w:vAlign w:val="center"/>
          </w:tcPr>
          <w:p w14:paraId="03B7F618">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地下水水质存在问题</w:t>
            </w:r>
          </w:p>
        </w:tc>
        <w:tc>
          <w:tcPr>
            <w:tcW w:w="2532" w:type="dxa"/>
            <w:vAlign w:val="center"/>
          </w:tcPr>
          <w:p w14:paraId="4368A4BA">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76637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0BE2E61E">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33</w:t>
            </w:r>
          </w:p>
        </w:tc>
        <w:tc>
          <w:tcPr>
            <w:tcW w:w="3891" w:type="dxa"/>
            <w:vAlign w:val="center"/>
          </w:tcPr>
          <w:p w14:paraId="1AA2BFC7">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八一乡五星单户分散式供水工程</w:t>
            </w:r>
          </w:p>
        </w:tc>
        <w:tc>
          <w:tcPr>
            <w:tcW w:w="1356" w:type="dxa"/>
            <w:vAlign w:val="center"/>
          </w:tcPr>
          <w:p w14:paraId="70A3F594">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地下水水质存在问题</w:t>
            </w:r>
          </w:p>
        </w:tc>
        <w:tc>
          <w:tcPr>
            <w:tcW w:w="2532" w:type="dxa"/>
            <w:vAlign w:val="center"/>
          </w:tcPr>
          <w:p w14:paraId="5D11291F">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tr w14:paraId="0795D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0" w:type="auto"/>
            <w:vAlign w:val="center"/>
          </w:tcPr>
          <w:p w14:paraId="619621FD">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34</w:t>
            </w:r>
          </w:p>
        </w:tc>
        <w:tc>
          <w:tcPr>
            <w:tcW w:w="3891" w:type="dxa"/>
            <w:vAlign w:val="center"/>
          </w:tcPr>
          <w:p w14:paraId="57A2E085">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向塘镇西洛村天王渡单户分散式供水工程</w:t>
            </w:r>
          </w:p>
        </w:tc>
        <w:tc>
          <w:tcPr>
            <w:tcW w:w="1356" w:type="dxa"/>
            <w:vAlign w:val="center"/>
          </w:tcPr>
          <w:p w14:paraId="1E8C2097">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地下水水质存在问题</w:t>
            </w:r>
          </w:p>
        </w:tc>
        <w:tc>
          <w:tcPr>
            <w:tcW w:w="2532" w:type="dxa"/>
            <w:vAlign w:val="center"/>
          </w:tcPr>
          <w:p w14:paraId="00CB0545">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规模化供水管网延伸</w:t>
            </w:r>
          </w:p>
        </w:tc>
      </w:tr>
      <w:bookmarkEnd w:id="119"/>
    </w:tbl>
    <w:p w14:paraId="1A259FE8">
      <w:pPr>
        <w:pStyle w:val="4"/>
        <w:keepNext/>
        <w:keepLines/>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b w:val="0"/>
          <w:bCs/>
          <w:sz w:val="32"/>
          <w:szCs w:val="32"/>
          <w:highlight w:val="none"/>
        </w:rPr>
        <w:sectPr>
          <w:pgSz w:w="11906" w:h="16838"/>
          <w:pgMar w:top="1440" w:right="1800" w:bottom="1440" w:left="1800" w:header="851" w:footer="992" w:gutter="0"/>
          <w:pgNumType w:fmt="decimal"/>
          <w:cols w:space="425" w:num="1"/>
          <w:docGrid w:type="lines" w:linePitch="312" w:charSpace="0"/>
        </w:sectPr>
      </w:pPr>
    </w:p>
    <w:p w14:paraId="30744297">
      <w:pPr>
        <w:pStyle w:val="4"/>
        <w:keepNext/>
        <w:keepLines/>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b w:val="0"/>
          <w:bCs/>
          <w:sz w:val="32"/>
          <w:szCs w:val="32"/>
          <w:highlight w:val="none"/>
        </w:rPr>
      </w:pPr>
      <w:bookmarkStart w:id="125" w:name="_Toc216276681"/>
      <w:bookmarkStart w:id="126" w:name="_Toc13808"/>
      <w:bookmarkStart w:id="127" w:name="_Toc24439"/>
      <w:bookmarkStart w:id="128" w:name="_Toc20533"/>
      <w:bookmarkStart w:id="129" w:name="_Toc216276682"/>
      <w:bookmarkStart w:id="130" w:name="OLE_LINK66"/>
      <w:r>
        <w:rPr>
          <w:rFonts w:hint="eastAsia" w:ascii="黑体" w:hAnsi="黑体" w:eastAsia="黑体" w:cs="黑体"/>
          <w:b w:val="0"/>
          <w:bCs/>
          <w:sz w:val="32"/>
          <w:szCs w:val="32"/>
          <w:highlight w:val="none"/>
        </w:rPr>
        <w:t>县域统管</w:t>
      </w:r>
      <w:bookmarkEnd w:id="125"/>
      <w:bookmarkEnd w:id="126"/>
      <w:bookmarkEnd w:id="127"/>
      <w:bookmarkEnd w:id="128"/>
    </w:p>
    <w:p w14:paraId="772B58A1">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131" w:name="_Toc15356"/>
      <w:bookmarkStart w:id="132" w:name="_Toc5887"/>
      <w:r>
        <w:rPr>
          <w:rFonts w:hint="eastAsia" w:ascii="楷体" w:hAnsi="楷体" w:eastAsia="楷体" w:cs="楷体"/>
          <w:sz w:val="32"/>
          <w:szCs w:val="32"/>
          <w:highlight w:val="none"/>
        </w:rPr>
        <w:t>统管主体及介绍</w:t>
      </w:r>
      <w:bookmarkEnd w:id="129"/>
      <w:bookmarkEnd w:id="131"/>
      <w:bookmarkEnd w:id="132"/>
    </w:p>
    <w:bookmarkEnd w:id="130"/>
    <w:p w14:paraId="34E6AE9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w:t>
      </w:r>
      <w:r>
        <w:rPr>
          <w:rFonts w:hint="eastAsia" w:ascii="仿宋_GB2312" w:hAnsi="仿宋_GB2312" w:eastAsia="仿宋_GB2312" w:cs="仿宋_GB2312"/>
          <w:sz w:val="32"/>
          <w:szCs w:val="32"/>
          <w:highlight w:val="none"/>
          <w:lang w:val="en-US" w:eastAsia="zh-CN"/>
        </w:rPr>
        <w:t>实现南昌县城乡供水一体化“全程覆盖、全民共享、全面服务”的目标</w:t>
      </w:r>
      <w:r>
        <w:rPr>
          <w:rFonts w:hint="eastAsia" w:ascii="仿宋_GB2312" w:hAnsi="仿宋_GB2312" w:eastAsia="仿宋_GB2312" w:cs="仿宋_GB2312"/>
          <w:sz w:val="32"/>
          <w:szCs w:val="32"/>
          <w:highlight w:val="none"/>
        </w:rPr>
        <w:t>，必须构建一个“权责清晰、主体明确、保障有力、运行高效”的区域统管新体系。</w:t>
      </w:r>
    </w:p>
    <w:p w14:paraId="10C5AF1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依据《水利部办公厅关于开展县域农村饮水安全标准化建设工作的通知》《江西省水利厅办公室关于印发江西省县域农村饮水安全标准化建设验收方案的通知》《江西省人民政府关于全面推行城乡供水一体化的指导意见》，结合我县实际，</w:t>
      </w:r>
      <w:r>
        <w:rPr>
          <w:rFonts w:hint="eastAsia" w:ascii="仿宋_GB2312" w:hAnsi="仿宋_GB2312" w:eastAsia="仿宋_GB2312" w:cs="仿宋_GB2312"/>
          <w:sz w:val="32"/>
          <w:szCs w:val="32"/>
          <w:highlight w:val="none"/>
        </w:rPr>
        <w:t>由专业化公司承担辖区内农村供水县域或片区统一管理、统一运行、统一维护，有条件的推进城乡供水统一管理。</w:t>
      </w:r>
    </w:p>
    <w:p w14:paraId="0ADA5747">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133" w:name="_Toc216276684"/>
      <w:bookmarkStart w:id="134" w:name="_Toc4339"/>
      <w:bookmarkStart w:id="135" w:name="_Toc20772"/>
      <w:r>
        <w:rPr>
          <w:rFonts w:hint="eastAsia" w:ascii="楷体" w:hAnsi="楷体" w:eastAsia="楷体" w:cs="楷体"/>
          <w:sz w:val="32"/>
          <w:szCs w:val="32"/>
          <w:highlight w:val="none"/>
        </w:rPr>
        <w:t>管理组织架构</w:t>
      </w:r>
      <w:bookmarkEnd w:id="133"/>
      <w:bookmarkEnd w:id="134"/>
      <w:bookmarkEnd w:id="135"/>
    </w:p>
    <w:p w14:paraId="588D4EC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保障南昌县农村饮水安全工程高效、专业、可持续运营，构建并强化“公司总部</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乡镇水厂”两级架构，明确权责，畅通指令。</w:t>
      </w:r>
    </w:p>
    <w:p w14:paraId="401523F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（1）公司总部</w:t>
      </w:r>
    </w:p>
    <w:p w14:paraId="06112FC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安全运营部：负责全县供水安全运营政策的制定、监督与考核；统筹重大安全事故应急预案的编制与演练指导。</w:t>
      </w:r>
    </w:p>
    <w:p w14:paraId="5C6344A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生产部：负责水厂生产运行、设备运维、中控调度、保障供水。</w:t>
      </w:r>
    </w:p>
    <w:p w14:paraId="674DA690">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工程部：负责县域内骨干供水工程、重大改扩建项目的统筹规划、立项与建设管理。</w:t>
      </w:r>
    </w:p>
    <w:p w14:paraId="28FBD1BC">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水质检测部：负责建立全县水质监测网络与标准体系；对各水厂进行水质抽检与实验室复核；提供技术支持与培训。</w:t>
      </w:r>
    </w:p>
    <w:p w14:paraId="5FA9D098">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信息部：负责县级智慧供水平台的规划、建设、运维与数据安全管理；指导下属单位信息化应用。</w:t>
      </w:r>
    </w:p>
    <w:p w14:paraId="10B43302">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计财部：负责项目资金的宏观统筹、融资安排与财务监管；审核重大资金支出与预算执行。</w:t>
      </w:r>
    </w:p>
    <w:p w14:paraId="6C159AC2">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（2）乡镇水厂</w:t>
      </w:r>
    </w:p>
    <w:p w14:paraId="13DEE5D0">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各</w:t>
      </w:r>
      <w:r>
        <w:rPr>
          <w:rFonts w:hint="eastAsia" w:ascii="仿宋_GB2312" w:hAnsi="仿宋_GB2312" w:eastAsia="仿宋_GB2312" w:cs="仿宋_GB2312"/>
          <w:sz w:val="32"/>
          <w:szCs w:val="32"/>
          <w:highlight w:val="none"/>
        </w:rPr>
        <w:t>水厂设置厂长1人、运行值班员2-6人、抄收维修人员1-3人</w:t>
      </w:r>
      <w:r>
        <w:rPr>
          <w:rFonts w:hint="eastAsia" w:ascii="仿宋_GB2312" w:hAnsi="仿宋_GB2312" w:eastAsia="仿宋_GB2312" w:cs="仿宋_GB2312"/>
          <w:sz w:val="32"/>
          <w:szCs w:val="32"/>
          <w:highlight w:val="none"/>
          <w:lang w:eastAsia="zh-CN"/>
        </w:rPr>
        <w:t>。</w:t>
      </w:r>
    </w:p>
    <w:p w14:paraId="7A4857D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主要职责：严格按照水厂运行操作规程、安全生产规定及调度指令，负责厂内制水工艺全过程监控、设备巡视、运行操作、日常保养、水质自检与现场安全管控。</w:t>
      </w:r>
    </w:p>
    <w:p w14:paraId="0DC42950">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136" w:name="_Toc26358"/>
      <w:bookmarkStart w:id="137" w:name="_Toc27471"/>
      <w:r>
        <w:rPr>
          <w:rFonts w:hint="eastAsia" w:ascii="楷体" w:hAnsi="楷体" w:eastAsia="楷体" w:cs="楷体"/>
          <w:sz w:val="32"/>
          <w:szCs w:val="32"/>
          <w:highlight w:val="none"/>
        </w:rPr>
        <w:t>专业化管理运维队伍建设</w:t>
      </w:r>
      <w:bookmarkEnd w:id="136"/>
      <w:bookmarkEnd w:id="137"/>
    </w:p>
    <w:p w14:paraId="39719D08">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（1）人员科学配置</w:t>
      </w:r>
    </w:p>
    <w:p w14:paraId="56A213D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定岗定编：根据水厂规模、管网长度、用户数量等，科学核定南昌县赣渤水务有限公司及各水厂的管理、技术、运营、维修、客服等岗位编制。</w:t>
      </w:r>
    </w:p>
    <w:p w14:paraId="22E1354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人才结构：优化队伍年龄与知识结构，加大给排水、自动化、机电工程、环境工程等专业技术人员引进比例，确保核心岗位持证上岗。</w:t>
      </w:r>
    </w:p>
    <w:p w14:paraId="34C64B93">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基层保障：稳定乡镇水厂关键岗位人员，通过待遇倾斜、晋升通道等方式减少人员流失。</w:t>
      </w:r>
    </w:p>
    <w:p w14:paraId="364E0B43">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（2）系统化培训计划</w:t>
      </w:r>
    </w:p>
    <w:p w14:paraId="6B12E06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制定年度计划：每年统筹制定涵盖安全、运营、技术、服务、管理的全年度培训与应急演练计划。</w:t>
      </w:r>
    </w:p>
    <w:p w14:paraId="4E37D22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实施月度培训：每月至少组织一次专题培训或实操演练，内容包括：安全生产法规与操作、制水工艺优化、机电设备维护、管网检漏抢修、智慧平台应用、客户服务规范等。</w:t>
      </w:r>
    </w:p>
    <w:p w14:paraId="4E86941C">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创新</w:t>
      </w:r>
      <w:r>
        <w:rPr>
          <w:rFonts w:hint="eastAsia" w:ascii="仿宋_GB2312" w:hAnsi="仿宋_GB2312" w:eastAsia="仿宋_GB2312" w:cs="仿宋_GB2312"/>
          <w:sz w:val="32"/>
          <w:szCs w:val="32"/>
          <w:highlight w:val="none"/>
        </w:rPr>
        <w:t>培训形式：采用内部讲师、外聘专家、线上课程、现场实操、技能比武等多种形式，确保培训效果。</w:t>
      </w:r>
    </w:p>
    <w:p w14:paraId="1BECE3D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（3）精细化考核机制</w:t>
      </w:r>
    </w:p>
    <w:p w14:paraId="69EE927D">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绩效全面挂钩：建立以岗位职责为基础，以绩效结果为导向的薪酬分配体系。</w:t>
      </w:r>
    </w:p>
    <w:p w14:paraId="0076B342">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关键绩效指标（KPI）：</w:t>
      </w:r>
    </w:p>
    <w:p w14:paraId="64C7A96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运行保障类：供水保证率（≥98%）、设备完好率、故障处置及时率（目标≥99%）。</w:t>
      </w:r>
    </w:p>
    <w:p w14:paraId="5ABA46E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水质安全类：水质综合合格率（≥99%）。</w:t>
      </w:r>
    </w:p>
    <w:p w14:paraId="3740097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经济效益类：水费收缴率（目标稳步提升至≥98%）、管网漏损率（控制目标逐年下降）。</w:t>
      </w:r>
    </w:p>
    <w:p w14:paraId="2EB77DA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服务质量类：用户满意度（目标≥95%）、投诉处理及时率与办结率。</w:t>
      </w:r>
    </w:p>
    <w:p w14:paraId="505D748C">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考核应用：考核结果与员工绩效工资、评优评先、岗位调整、晋升发展直接挂钩，形成“能者上、平者让、庸者下”的动态管理机制。</w:t>
      </w:r>
    </w:p>
    <w:p w14:paraId="60DE969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考核机制：实行“绩效挂钩”，考核指标包括故障处置及时率、水费收缴率、用户满意度（目标≥95%）。</w:t>
      </w:r>
    </w:p>
    <w:p w14:paraId="445E6D08">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138" w:name="_Toc25931"/>
      <w:bookmarkStart w:id="139" w:name="_Toc216276686"/>
      <w:bookmarkStart w:id="140" w:name="_Toc10758"/>
      <w:r>
        <w:rPr>
          <w:rFonts w:hint="eastAsia" w:ascii="楷体" w:hAnsi="楷体" w:eastAsia="楷体" w:cs="楷体"/>
          <w:sz w:val="32"/>
          <w:szCs w:val="32"/>
          <w:highlight w:val="none"/>
        </w:rPr>
        <w:t>网格化分片区管理</w:t>
      </w:r>
      <w:bookmarkEnd w:id="138"/>
      <w:bookmarkEnd w:id="139"/>
      <w:bookmarkEnd w:id="140"/>
    </w:p>
    <w:p w14:paraId="3BCDEBE3">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县域统管区域网格化分片区按“就近原则”划分为4个片区，每个片区管理2-5个乡镇，</w:t>
      </w:r>
      <w:r>
        <w:rPr>
          <w:rFonts w:hint="eastAsia" w:ascii="仿宋_GB2312" w:hAnsi="仿宋_GB2312" w:eastAsia="仿宋_GB2312" w:cs="仿宋_GB2312"/>
          <w:sz w:val="32"/>
          <w:szCs w:val="32"/>
          <w:highlight w:val="none"/>
          <w:lang w:eastAsia="zh-CN"/>
        </w:rPr>
        <w:t>配备</w:t>
      </w:r>
      <w:r>
        <w:rPr>
          <w:rFonts w:hint="eastAsia" w:ascii="仿宋_GB2312" w:hAnsi="仿宋_GB2312" w:eastAsia="仿宋_GB2312" w:cs="仿宋_GB2312"/>
          <w:sz w:val="32"/>
          <w:szCs w:val="32"/>
          <w:highlight w:val="none"/>
        </w:rPr>
        <w:t>1名负责人员。4个片区分别为4个片区分别为南蒋片（南新乡、蒋巷镇）、塘南片（塘南镇、泾口乡、幽兰镇）、莲向片（城区及武阳镇、塔城乡、向塘镇、冈上镇）广三片（广福镇、三江镇、黄马乡）。</w:t>
      </w:r>
    </w:p>
    <w:p w14:paraId="65DF434C">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141" w:name="_Toc216276687"/>
      <w:bookmarkStart w:id="142" w:name="_Toc11226"/>
      <w:bookmarkStart w:id="143" w:name="_Toc20783"/>
      <w:r>
        <w:rPr>
          <w:rFonts w:hint="eastAsia" w:ascii="楷体" w:hAnsi="楷体" w:eastAsia="楷体" w:cs="楷体"/>
          <w:sz w:val="32"/>
          <w:szCs w:val="32"/>
          <w:highlight w:val="none"/>
        </w:rPr>
        <w:t>巡查养护制度</w:t>
      </w:r>
      <w:bookmarkEnd w:id="141"/>
      <w:bookmarkEnd w:id="142"/>
      <w:bookmarkEnd w:id="143"/>
    </w:p>
    <w:p w14:paraId="64126C20">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日常巡查：水厂运行人员、维修人员巡查水源地、供水管网，发现问题及时上报；片区负责人每月巡查片区水厂运行情况，总部每季度巡查规模化水厂；</w:t>
      </w:r>
    </w:p>
    <w:p w14:paraId="31CAE3A3">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定期养护：定期冲洗管网，末端排水，消毒设备每季度检修1次，清水池、沉淀池等工艺池体每年清洗1次；</w:t>
      </w:r>
    </w:p>
    <w:p w14:paraId="72916E58">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记录管理：建立“运行巡查维护档案”，保存期5年。</w:t>
      </w:r>
    </w:p>
    <w:p w14:paraId="50430AE6">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144" w:name="_Toc216276688"/>
      <w:bookmarkStart w:id="145" w:name="_Toc20662"/>
      <w:bookmarkStart w:id="146" w:name="_Toc3001"/>
      <w:r>
        <w:rPr>
          <w:rFonts w:hint="eastAsia" w:ascii="楷体" w:hAnsi="楷体" w:eastAsia="楷体" w:cs="楷体"/>
          <w:sz w:val="32"/>
          <w:szCs w:val="32"/>
          <w:highlight w:val="none"/>
        </w:rPr>
        <w:t>水质检测及监测</w:t>
      </w:r>
      <w:bookmarkEnd w:id="144"/>
      <w:bookmarkEnd w:id="145"/>
      <w:bookmarkEnd w:id="146"/>
    </w:p>
    <w:p w14:paraId="3705E6C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水质检测实行统管主体自检和县级主管部门巡检的水质检测体系。具体包括：</w:t>
      </w:r>
    </w:p>
    <w:p w14:paraId="5925D70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bookmarkStart w:id="147" w:name="_Toc216276689"/>
      <w:r>
        <w:rPr>
          <w:rFonts w:hint="eastAsia" w:ascii="仿宋_GB2312" w:hAnsi="仿宋_GB2312" w:eastAsia="仿宋_GB2312" w:cs="仿宋_GB2312"/>
          <w:sz w:val="32"/>
          <w:szCs w:val="32"/>
          <w:highlight w:val="none"/>
        </w:rPr>
        <w:t>县级检测：县卫健委每季度进行水质检测以及不定期的水质抽检；</w:t>
      </w:r>
    </w:p>
    <w:p w14:paraId="1BB6E31D">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企业检测：委托第三方有检测资质的检测公司对各水厂出厂水进行一年两次的97项全分析检测，对源水、出厂水及末梢水每月进行一次43项水质检测。</w:t>
      </w:r>
    </w:p>
    <w:p w14:paraId="5233928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乡镇水厂：按规定开展水厂水源水、出厂水、末梢水自检和水质巡检工作。</w:t>
      </w:r>
    </w:p>
    <w:p w14:paraId="3D9C429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信息公开：每月在微信公众号公示水质检测结果，接受群众监督。</w:t>
      </w:r>
    </w:p>
    <w:p w14:paraId="2EB33109">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148" w:name="_Toc251"/>
      <w:bookmarkStart w:id="149" w:name="_Toc32313"/>
      <w:r>
        <w:rPr>
          <w:rFonts w:hint="eastAsia" w:ascii="楷体" w:hAnsi="楷体" w:eastAsia="楷体" w:cs="楷体"/>
          <w:sz w:val="32"/>
          <w:szCs w:val="32"/>
          <w:highlight w:val="none"/>
        </w:rPr>
        <w:t>应急保障</w:t>
      </w:r>
      <w:bookmarkEnd w:id="147"/>
      <w:bookmarkEnd w:id="148"/>
      <w:bookmarkEnd w:id="149"/>
    </w:p>
    <w:p w14:paraId="6346A239">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1）预案制定：编制《农村饮水安全突发事件应急预案》，明确水质异常、管网抢修、防汛防旱防冻等应急处置流程；</w:t>
      </w:r>
    </w:p>
    <w:p w14:paraId="27CA5673">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2）物资储备：建立应急物资清单，每月进行点检，确保应急</w:t>
      </w:r>
      <w:r>
        <w:rPr>
          <w:rFonts w:hint="eastAsia" w:ascii="仿宋_GB2312" w:hAnsi="仿宋_GB2312" w:eastAsia="仿宋_GB2312" w:cs="仿宋_GB2312"/>
          <w:sz w:val="32"/>
          <w:szCs w:val="32"/>
          <w:highlight w:val="none"/>
          <w:lang w:eastAsia="zh-CN"/>
        </w:rPr>
        <w:t>物资</w:t>
      </w:r>
      <w:r>
        <w:rPr>
          <w:rFonts w:hint="eastAsia" w:ascii="仿宋_GB2312" w:hAnsi="仿宋_GB2312" w:eastAsia="仿宋_GB2312" w:cs="仿宋_GB2312"/>
          <w:sz w:val="32"/>
          <w:szCs w:val="32"/>
          <w:highlight w:val="none"/>
        </w:rPr>
        <w:t>数量充足，且在有效期内；</w:t>
      </w:r>
    </w:p>
    <w:p w14:paraId="5760ABFA">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3）应急演练：每季度开展1次应急演练（如水质突发、防汛防旱防冻应急处置），提升队伍响应能力。</w:t>
      </w:r>
    </w:p>
    <w:p w14:paraId="32B283D1">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150" w:name="_Toc216276690"/>
      <w:bookmarkStart w:id="151" w:name="_Toc27094"/>
      <w:bookmarkStart w:id="152" w:name="_Toc14926"/>
      <w:r>
        <w:rPr>
          <w:rFonts w:hint="eastAsia" w:ascii="楷体" w:hAnsi="楷体" w:eastAsia="楷体" w:cs="楷体"/>
          <w:sz w:val="32"/>
          <w:szCs w:val="32"/>
          <w:highlight w:val="none"/>
        </w:rPr>
        <w:t>“1小时响应、24小时处置”问题处置机制</w:t>
      </w:r>
      <w:bookmarkEnd w:id="150"/>
      <w:bookmarkEnd w:id="151"/>
      <w:bookmarkEnd w:id="152"/>
    </w:p>
    <w:p w14:paraId="447755A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1）响应流程：用户通过“供水服务热线（952525）”“微信小程序”上报故障，接线员1小时内派单至网格管护员；</w:t>
      </w:r>
    </w:p>
    <w:p w14:paraId="311D8A23">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2）处置时限：小故障（如入户管道漏水）8小时内处置，一般故障（如管网破裂）12小时内处置，重大故障（如水厂停机）24小时内处置；</w:t>
      </w:r>
    </w:p>
    <w:p w14:paraId="2660B872">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3）回访机制：处置完成后24小时内回访用户，确认维修质量与用户满意度。回访结果纳入供水公司服务质量考核。</w:t>
      </w:r>
    </w:p>
    <w:p w14:paraId="6790C4EE">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153" w:name="_Toc31712"/>
      <w:bookmarkStart w:id="154" w:name="_Toc8534"/>
      <w:bookmarkStart w:id="155" w:name="_Toc216276691"/>
      <w:r>
        <w:rPr>
          <w:rFonts w:hint="eastAsia" w:ascii="楷体" w:hAnsi="楷体" w:eastAsia="楷体" w:cs="楷体"/>
          <w:sz w:val="32"/>
          <w:szCs w:val="32"/>
          <w:highlight w:val="none"/>
        </w:rPr>
        <w:t>投入机制</w:t>
      </w:r>
      <w:bookmarkEnd w:id="153"/>
      <w:bookmarkEnd w:id="154"/>
      <w:bookmarkEnd w:id="155"/>
    </w:p>
    <w:p w14:paraId="0033218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（1）政府投入</w:t>
      </w:r>
    </w:p>
    <w:p w14:paraId="27EC119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）统筹每年上级下达的各类维养资金</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用于水厂维修养护和水质提升；</w:t>
      </w:r>
    </w:p>
    <w:p w14:paraId="33179C29">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）积极争取申报三峡后续专项补助资金</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专项债等各类资金</w:t>
      </w:r>
      <w:r>
        <w:rPr>
          <w:rFonts w:hint="eastAsia" w:ascii="仿宋_GB2312" w:hAnsi="仿宋_GB2312" w:eastAsia="仿宋_GB2312" w:cs="仿宋_GB2312"/>
          <w:sz w:val="32"/>
          <w:szCs w:val="32"/>
          <w:highlight w:val="none"/>
        </w:rPr>
        <w:t>；</w:t>
      </w:r>
    </w:p>
    <w:p w14:paraId="527B525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）企业投入</w:t>
      </w:r>
    </w:p>
    <w:p w14:paraId="4D97E833">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
          <w:woUserID w:val="1"/>
        </w:rPr>
      </w:pPr>
      <w:r>
        <w:rPr>
          <w:rFonts w:hint="eastAsia" w:ascii="仿宋_GB2312" w:hAnsi="仿宋_GB2312" w:eastAsia="仿宋_GB2312" w:cs="仿宋_GB2312"/>
          <w:sz w:val="32"/>
          <w:szCs w:val="32"/>
          <w:highlight w:val="none"/>
        </w:rPr>
        <w:t>依据经营服务范围，每年编制维修养护及更新改造计划，</w:t>
      </w:r>
      <w:r>
        <w:rPr>
          <w:rFonts w:hint="eastAsia" w:ascii="仿宋_GB2312" w:hAnsi="仿宋_GB2312" w:eastAsia="仿宋_GB2312" w:cs="仿宋_GB2312"/>
          <w:sz w:val="32"/>
          <w:szCs w:val="32"/>
          <w:highlight w:val="none"/>
          <w:lang w:val="en-US" w:eastAsia="zh-CN"/>
        </w:rPr>
        <w:t>并</w:t>
      </w:r>
      <w:r>
        <w:rPr>
          <w:rFonts w:hint="eastAsia" w:ascii="仿宋_GB2312" w:hAnsi="仿宋_GB2312" w:eastAsia="仿宋_GB2312" w:cs="仿宋_GB2312"/>
          <w:sz w:val="32"/>
          <w:szCs w:val="32"/>
          <w:highlight w:val="none"/>
        </w:rPr>
        <w:t>从水费收入中提取5%，</w:t>
      </w:r>
      <w:r>
        <w:rPr>
          <w:rFonts w:hint="eastAsia" w:ascii="仿宋_GB2312" w:hAnsi="仿宋_GB2312" w:eastAsia="仿宋_GB2312" w:cs="仿宋_GB2312"/>
          <w:sz w:val="32"/>
          <w:szCs w:val="32"/>
          <w:highlight w:val="none"/>
          <w:lang w:val="en-US" w:eastAsia="zh-CN"/>
        </w:rPr>
        <w:t>用于水厂维修养护。</w:t>
      </w:r>
      <w:r>
        <w:rPr>
          <w:rFonts w:hint="eastAsia" w:ascii="仿宋_GB2312" w:hAnsi="仿宋_GB2312" w:eastAsia="仿宋_GB2312" w:cs="仿宋_GB2312"/>
          <w:sz w:val="32"/>
          <w:szCs w:val="32"/>
          <w:highlight w:val="none"/>
          <w:lang w:val="en-US" w:eastAsia="zh"/>
          <w:woUserID w:val="1"/>
        </w:rPr>
        <w:t>另外，根据企业发展计划，合理加大县域统管方面资金投入。</w:t>
      </w:r>
    </w:p>
    <w:p w14:paraId="40D80D53">
      <w:pPr>
        <w:pStyle w:val="5"/>
        <w:keepNext/>
        <w:keepLines/>
        <w:pageBreakBefore w:val="0"/>
        <w:widowControl w:val="0"/>
        <w:numPr>
          <w:ilvl w:val="1"/>
          <w:numId w:val="0"/>
        </w:numPr>
        <w:kinsoku/>
        <w:wordWrap/>
        <w:overflowPunct/>
        <w:topLinePunct w:val="0"/>
        <w:autoSpaceDE/>
        <w:autoSpaceDN/>
        <w:bidi w:val="0"/>
        <w:adjustRightInd/>
        <w:snapToGrid/>
        <w:spacing w:line="560" w:lineRule="exact"/>
        <w:ind w:leftChars="0" w:firstLine="0" w:firstLineChars="0"/>
        <w:textAlignment w:val="auto"/>
        <w:rPr>
          <w:rFonts w:hint="eastAsia" w:ascii="楷体" w:hAnsi="楷体" w:eastAsia="楷体" w:cs="楷体"/>
          <w:sz w:val="32"/>
          <w:szCs w:val="32"/>
          <w:highlight w:val="none"/>
        </w:rPr>
      </w:pPr>
      <w:bookmarkStart w:id="156" w:name="_Toc188"/>
      <w:bookmarkStart w:id="157" w:name="_Toc216276692"/>
      <w:bookmarkStart w:id="158" w:name="_Toc19133"/>
      <w:r>
        <w:rPr>
          <w:rFonts w:hint="eastAsia" w:ascii="楷体" w:hAnsi="楷体" w:eastAsia="楷体" w:cs="楷体"/>
          <w:sz w:val="32"/>
          <w:szCs w:val="32"/>
          <w:highlight w:val="none"/>
          <w:lang w:eastAsia="zh"/>
          <w:woUserID w:val="1"/>
        </w:rPr>
        <w:t>6.10</w:t>
      </w:r>
      <w:r>
        <w:rPr>
          <w:rFonts w:hint="eastAsia" w:ascii="楷体" w:hAnsi="楷体" w:eastAsia="楷体" w:cs="楷体"/>
          <w:sz w:val="32"/>
          <w:szCs w:val="32"/>
          <w:highlight w:val="none"/>
        </w:rPr>
        <w:t>水价与水费收缴机制</w:t>
      </w:r>
      <w:bookmarkEnd w:id="156"/>
      <w:bookmarkEnd w:id="157"/>
      <w:bookmarkEnd w:id="158"/>
    </w:p>
    <w:p w14:paraId="4F43ECD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bookmarkStart w:id="159" w:name="_Hlk216271393"/>
      <w:r>
        <w:rPr>
          <w:rFonts w:hint="eastAsia" w:ascii="仿宋_GB2312" w:hAnsi="仿宋_GB2312" w:eastAsia="仿宋_GB2312" w:cs="仿宋_GB2312"/>
          <w:sz w:val="32"/>
          <w:szCs w:val="32"/>
          <w:highlight w:val="none"/>
        </w:rPr>
        <w:t>水价制定：</w:t>
      </w:r>
      <w:bookmarkEnd w:id="159"/>
      <w:r>
        <w:rPr>
          <w:rFonts w:hint="eastAsia" w:ascii="仿宋_GB2312" w:hAnsi="仿宋_GB2312" w:eastAsia="仿宋_GB2312" w:cs="仿宋_GB2312"/>
          <w:sz w:val="32"/>
          <w:szCs w:val="32"/>
          <w:highlight w:val="none"/>
        </w:rPr>
        <w:t>由县发改委牵头，按“成本核算+合理利润”原则，2025年核定农村供水水价居民用水为1.4元/m³，非</w:t>
      </w:r>
      <w:r>
        <w:rPr>
          <w:rFonts w:hint="eastAsia" w:ascii="仿宋_GB2312" w:hAnsi="仿宋_GB2312" w:eastAsia="仿宋_GB2312" w:cs="仿宋_GB2312"/>
          <w:sz w:val="32"/>
          <w:szCs w:val="32"/>
          <w:highlight w:val="none"/>
          <w:lang w:eastAsia="zh-CN"/>
        </w:rPr>
        <w:t>居民</w:t>
      </w:r>
      <w:r>
        <w:rPr>
          <w:rFonts w:hint="eastAsia" w:ascii="仿宋_GB2312" w:hAnsi="仿宋_GB2312" w:eastAsia="仿宋_GB2312" w:cs="仿宋_GB2312"/>
          <w:sz w:val="32"/>
          <w:szCs w:val="32"/>
          <w:highlight w:val="none"/>
        </w:rPr>
        <w:t>用户为1.65元/m³；</w:t>
      </w:r>
    </w:p>
    <w:p w14:paraId="7BE2F229">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收缴方式：“粤海水务服务”微信公众号、微信生活缴费、支付宝生活缴费、银行转账、窗口现金及POS机刷卡等方式；水厂抄收人员应协助老年人、行动不便用户办理缴费。</w:t>
      </w:r>
    </w:p>
    <w:p w14:paraId="352A17E3">
      <w:pPr>
        <w:pStyle w:val="47"/>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sz w:val="32"/>
          <w:szCs w:val="32"/>
          <w:highlight w:val="none"/>
        </w:rPr>
        <w:t>整改后县域统管分区布置图见附件</w:t>
      </w:r>
      <w:r>
        <w:rPr>
          <w:rFonts w:hint="eastAsia" w:ascii="仿宋_GB2312" w:hAnsi="仿宋_GB2312" w:eastAsia="仿宋_GB2312" w:cs="仿宋_GB2312"/>
          <w:color w:val="auto"/>
          <w:sz w:val="32"/>
          <w:szCs w:val="32"/>
          <w:highlight w:val="none"/>
        </w:rPr>
        <w:t>。</w:t>
      </w:r>
    </w:p>
    <w:p w14:paraId="2AE336E8">
      <w:pPr>
        <w:pStyle w:val="47"/>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p>
    <w:p w14:paraId="69BE3B25">
      <w:pPr>
        <w:pStyle w:val="47"/>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sectPr>
          <w:pgSz w:w="11906" w:h="16838"/>
          <w:pgMar w:top="1440" w:right="1800" w:bottom="1440" w:left="1800" w:header="851" w:footer="992" w:gutter="0"/>
          <w:pgNumType w:fmt="decimal"/>
          <w:cols w:space="425" w:num="1"/>
          <w:docGrid w:type="lines" w:linePitch="312" w:charSpace="0"/>
        </w:sectPr>
      </w:pPr>
    </w:p>
    <w:p w14:paraId="41EFE49D">
      <w:pPr>
        <w:pStyle w:val="4"/>
        <w:keepNext/>
        <w:keepLines/>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b w:val="0"/>
          <w:bCs/>
          <w:sz w:val="32"/>
          <w:szCs w:val="32"/>
          <w:highlight w:val="none"/>
        </w:rPr>
      </w:pPr>
      <w:bookmarkStart w:id="160" w:name="_Toc20185"/>
      <w:bookmarkStart w:id="161" w:name="_Toc12807"/>
      <w:r>
        <w:rPr>
          <w:rFonts w:hint="eastAsia" w:ascii="黑体" w:hAnsi="黑体" w:eastAsia="黑体" w:cs="黑体"/>
          <w:b w:val="0"/>
          <w:bCs/>
          <w:sz w:val="32"/>
          <w:szCs w:val="32"/>
          <w:highlight w:val="none"/>
        </w:rPr>
        <w:t>典型工程设计</w:t>
      </w:r>
      <w:bookmarkEnd w:id="160"/>
      <w:bookmarkEnd w:id="161"/>
    </w:p>
    <w:p w14:paraId="2B2243A3">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162" w:name="_Toc19488"/>
      <w:bookmarkStart w:id="163" w:name="_Toc108252050"/>
      <w:bookmarkStart w:id="164" w:name="_Toc535757805"/>
      <w:bookmarkStart w:id="165" w:name="_Toc11803"/>
      <w:bookmarkStart w:id="166" w:name="_Toc200038946"/>
      <w:bookmarkStart w:id="167" w:name="_Toc146613832"/>
      <w:bookmarkStart w:id="168" w:name="_Toc136854167"/>
      <w:bookmarkStart w:id="169" w:name="_Toc129490331"/>
      <w:bookmarkStart w:id="170" w:name="_Toc142885522"/>
      <w:r>
        <w:rPr>
          <w:rFonts w:hint="eastAsia" w:ascii="楷体" w:hAnsi="楷体" w:eastAsia="楷体" w:cs="楷体"/>
          <w:sz w:val="32"/>
          <w:szCs w:val="32"/>
          <w:highlight w:val="none"/>
        </w:rPr>
        <w:t>典型工程的选择</w:t>
      </w:r>
      <w:bookmarkEnd w:id="162"/>
      <w:bookmarkEnd w:id="163"/>
      <w:bookmarkEnd w:id="164"/>
      <w:bookmarkEnd w:id="165"/>
      <w:bookmarkEnd w:id="166"/>
    </w:p>
    <w:p w14:paraId="5C898D9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次行动方案采取典型工程法以点带面估算全县农村饮水安全薄弱环节排查与整治提升三年行动的建设内容、工程量及投资等指标。典型工程是进行项目工程量与投资估算的基础和依据。依据供水范围的水资源条件、工程建设条件、经济条件、管理条件、电源条件、供水方式、用水条件、水源水量及水质等资料，选取具有代表性的或参照已建同类工程作为典型工程设计。</w:t>
      </w:r>
    </w:p>
    <w:p w14:paraId="2408ED3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本次选取向塘镇西洛村渠龚、渠西农村管网延伸工程为典型工程设计。</w:t>
      </w:r>
    </w:p>
    <w:p w14:paraId="0580FBED">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171" w:name="_Toc21637"/>
      <w:bookmarkStart w:id="172" w:name="_Toc24214"/>
      <w:r>
        <w:rPr>
          <w:rFonts w:hint="eastAsia" w:ascii="楷体" w:hAnsi="楷体" w:eastAsia="楷体" w:cs="楷体"/>
          <w:sz w:val="32"/>
          <w:szCs w:val="32"/>
          <w:highlight w:val="none"/>
        </w:rPr>
        <w:t>工程概况</w:t>
      </w:r>
      <w:bookmarkEnd w:id="171"/>
      <w:bookmarkEnd w:id="172"/>
    </w:p>
    <w:p w14:paraId="404D554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本工程为南昌县向塘镇西洛村农村供水扩网工程，建设内容包括渠龚自然村和渠西自然村的管网延伸铺设及配套设施。工程主要建设内容：</w:t>
      </w:r>
      <w:bookmarkStart w:id="173" w:name="OLE_LINK34"/>
      <w:r>
        <w:rPr>
          <w:rFonts w:hint="eastAsia" w:ascii="仿宋_GB2312" w:hAnsi="仿宋_GB2312" w:eastAsia="仿宋_GB2312" w:cs="仿宋_GB2312"/>
          <w:sz w:val="32"/>
          <w:szCs w:val="32"/>
          <w:highlight w:val="none"/>
        </w:rPr>
        <w:t>（1）</w:t>
      </w:r>
      <w:bookmarkStart w:id="174" w:name="_Hlk216251052"/>
      <w:r>
        <w:rPr>
          <w:rFonts w:hint="eastAsia" w:ascii="仿宋_GB2312" w:hAnsi="仿宋_GB2312" w:eastAsia="仿宋_GB2312" w:cs="仿宋_GB2312"/>
          <w:sz w:val="32"/>
          <w:szCs w:val="32"/>
          <w:highlight w:val="none"/>
        </w:rPr>
        <w:t>渠龚自然村</w:t>
      </w:r>
      <w:bookmarkEnd w:id="174"/>
      <w:r>
        <w:rPr>
          <w:rFonts w:hint="eastAsia" w:ascii="仿宋_GB2312" w:hAnsi="仿宋_GB2312" w:eastAsia="仿宋_GB2312" w:cs="仿宋_GB2312"/>
          <w:sz w:val="32"/>
          <w:szCs w:val="32"/>
          <w:highlight w:val="none"/>
        </w:rPr>
        <w:t>：新增引水主管（PE管φ=200～110mm）约2693m，入户管网（PE管φ=20mm～80mm）1219m，安装入户智能水表40户，以及相应的配套设施。（2）渠西自然村：新增引水主管（PE管φ=110mm）约251m，入户管网（PE管φ=20mm～100mm）1998m，安装入户智能水表67户，以及相应的配套设施。</w:t>
      </w:r>
      <w:bookmarkEnd w:id="173"/>
    </w:p>
    <w:bookmarkEnd w:id="167"/>
    <w:bookmarkEnd w:id="168"/>
    <w:bookmarkEnd w:id="169"/>
    <w:bookmarkEnd w:id="170"/>
    <w:p w14:paraId="71CCE4F2">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175" w:name="_Toc16356"/>
      <w:bookmarkStart w:id="176" w:name="_Toc200038948"/>
      <w:bookmarkStart w:id="177" w:name="_Toc1253"/>
      <w:r>
        <w:rPr>
          <w:rFonts w:hint="eastAsia" w:ascii="楷体" w:hAnsi="楷体" w:eastAsia="楷体" w:cs="楷体"/>
          <w:sz w:val="32"/>
          <w:szCs w:val="32"/>
          <w:highlight w:val="none"/>
        </w:rPr>
        <w:t>配水干管工程</w:t>
      </w:r>
      <w:bookmarkEnd w:id="175"/>
      <w:bookmarkEnd w:id="176"/>
      <w:bookmarkEnd w:id="177"/>
    </w:p>
    <w:p w14:paraId="38587964">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textAlignment w:val="auto"/>
        <w:rPr>
          <w:rFonts w:hint="eastAsia" w:ascii="仿宋_GB2312" w:hAnsi="仿宋_GB2312" w:eastAsia="仿宋_GB2312" w:cs="仿宋_GB2312"/>
          <w:sz w:val="32"/>
          <w:szCs w:val="32"/>
          <w:highlight w:val="none"/>
        </w:rPr>
      </w:pPr>
      <w:bookmarkStart w:id="178" w:name="_Toc8288"/>
      <w:bookmarkStart w:id="179" w:name="_Toc14608"/>
      <w:r>
        <w:rPr>
          <w:rFonts w:hint="eastAsia" w:ascii="仿宋_GB2312" w:hAnsi="仿宋_GB2312" w:eastAsia="仿宋_GB2312" w:cs="仿宋_GB2312"/>
          <w:sz w:val="32"/>
          <w:szCs w:val="32"/>
          <w:highlight w:val="none"/>
        </w:rPr>
        <w:t>配水干管建设方案</w:t>
      </w:r>
      <w:bookmarkEnd w:id="178"/>
      <w:bookmarkEnd w:id="179"/>
    </w:p>
    <w:p w14:paraId="3535B0F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市政配水干管工程方案如下：在向塘镇浃溪村余南自然村北侧现状给水配水主管（DN300）上设分水口（DN200）为本工程供水，经铁路现状涵洞后向南敷设到浃溪村余南自然村北并预留远期用分水口（DN100），向东沿现状道路敷设至西总干渠西岸并预留</w:t>
      </w:r>
      <w:r>
        <w:rPr>
          <w:rFonts w:hint="eastAsia" w:ascii="仿宋_GB2312" w:hAnsi="仿宋_GB2312" w:eastAsia="仿宋_GB2312" w:cs="仿宋_GB2312"/>
          <w:sz w:val="32"/>
          <w:szCs w:val="32"/>
          <w:highlight w:val="none"/>
          <w:lang w:eastAsia="zh-CN"/>
        </w:rPr>
        <w:t>远期</w:t>
      </w:r>
      <w:r>
        <w:rPr>
          <w:rFonts w:hint="eastAsia" w:ascii="仿宋_GB2312" w:hAnsi="仿宋_GB2312" w:eastAsia="仿宋_GB2312" w:cs="仿宋_GB2312"/>
          <w:sz w:val="32"/>
          <w:szCs w:val="32"/>
          <w:highlight w:val="none"/>
        </w:rPr>
        <w:t>分水口（DN150，远期服务西洛村北片各自然村），沿西总干渠西岸向南敷设一根DN150配水干管至渠龚自然村，并下穿</w:t>
      </w:r>
      <w:bookmarkStart w:id="180" w:name="OLE_LINK29"/>
      <w:r>
        <w:rPr>
          <w:rFonts w:hint="eastAsia" w:ascii="仿宋_GB2312" w:hAnsi="仿宋_GB2312" w:eastAsia="仿宋_GB2312" w:cs="仿宋_GB2312"/>
          <w:sz w:val="32"/>
          <w:szCs w:val="32"/>
          <w:highlight w:val="none"/>
        </w:rPr>
        <w:t>西总干渠至东侧</w:t>
      </w:r>
      <w:bookmarkEnd w:id="180"/>
      <w:r>
        <w:rPr>
          <w:rFonts w:hint="eastAsia" w:ascii="仿宋_GB2312" w:hAnsi="仿宋_GB2312" w:eastAsia="仿宋_GB2312" w:cs="仿宋_GB2312"/>
          <w:sz w:val="32"/>
          <w:szCs w:val="32"/>
          <w:highlight w:val="none"/>
        </w:rPr>
        <w:t>的渠西自然村，管径DN150，并在西总干渠东侧向南预留DN100分水口，远期服务天王渡等，见</w:t>
      </w: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REF_Ref216251429\h\*MERGEFORMAT</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图7</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sz w:val="32"/>
          <w:szCs w:val="32"/>
          <w:highlight w:val="none"/>
        </w:rPr>
        <w:t>。</w:t>
      </w:r>
    </w:p>
    <w:p w14:paraId="67D1EF8E">
      <w:pPr>
        <w:ind w:firstLine="0" w:firstLineChars="0"/>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drawing>
          <wp:inline distT="0" distB="0" distL="0" distR="0">
            <wp:extent cx="3599815" cy="5652135"/>
            <wp:effectExtent l="0" t="0" r="635" b="5715"/>
            <wp:docPr id="10409747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74736" name="图片 1"/>
                    <pic:cNvPicPr>
                      <a:picLocks noChangeAspect="1" noChangeArrowheads="1"/>
                    </pic:cNvPicPr>
                  </pic:nvPicPr>
                  <pic:blipFill>
                    <a:blip r:embed="rId10" cstate="print">
                      <a:extLst>
                        <a:ext uri="{28A0092B-C50C-407E-A947-70E740481C1C}">
                          <a14:useLocalDpi xmlns:a14="http://schemas.microsoft.com/office/drawing/2010/main" val="0"/>
                        </a:ext>
                      </a:extLst>
                    </a:blip>
                    <a:srcRect l="22755" t="4596" r="36070" b="3984"/>
                    <a:stretch>
                      <a:fillRect/>
                    </a:stretch>
                  </pic:blipFill>
                  <pic:spPr>
                    <a:xfrm>
                      <a:off x="0" y="0"/>
                      <a:ext cx="3600000" cy="5652632"/>
                    </a:xfrm>
                    <a:prstGeom prst="rect">
                      <a:avLst/>
                    </a:prstGeom>
                    <a:noFill/>
                    <a:ln>
                      <a:noFill/>
                    </a:ln>
                  </pic:spPr>
                </pic:pic>
              </a:graphicData>
            </a:graphic>
          </wp:inline>
        </w:drawing>
      </w:r>
    </w:p>
    <w:p w14:paraId="7BE00AE6">
      <w:pPr>
        <w:spacing w:before="156"/>
        <w:ind w:firstLine="0" w:firstLineChars="0"/>
        <w:jc w:val="center"/>
        <w:rPr>
          <w:rFonts w:hint="eastAsia" w:ascii="仿宋_GB2312" w:hAnsi="仿宋_GB2312" w:eastAsia="仿宋_GB2312" w:cs="仿宋_GB2312"/>
          <w:sz w:val="24"/>
          <w:szCs w:val="24"/>
          <w:highlight w:val="none"/>
        </w:rPr>
      </w:pPr>
      <w:bookmarkStart w:id="181" w:name="_Ref216251429"/>
      <w:r>
        <w:rPr>
          <w:rFonts w:hint="eastAsia" w:ascii="仿宋_GB2312" w:hAnsi="仿宋_GB2312" w:eastAsia="仿宋_GB2312" w:cs="仿宋_GB2312"/>
          <w:sz w:val="24"/>
          <w:szCs w:val="24"/>
          <w:highlight w:val="none"/>
        </w:rPr>
        <w:t>图</w:t>
      </w:r>
      <w:r>
        <w:rPr>
          <w:rFonts w:hint="eastAsia" w:ascii="仿宋_GB2312" w:hAnsi="仿宋_GB2312" w:eastAsia="仿宋_GB2312" w:cs="仿宋_GB2312"/>
          <w:sz w:val="24"/>
          <w:szCs w:val="24"/>
          <w:highlight w:val="none"/>
        </w:rPr>
        <w:fldChar w:fldCharType="begin"/>
      </w:r>
      <w:r>
        <w:rPr>
          <w:rFonts w:hint="eastAsia" w:ascii="仿宋_GB2312" w:hAnsi="仿宋_GB2312" w:eastAsia="仿宋_GB2312" w:cs="仿宋_GB2312"/>
          <w:sz w:val="24"/>
          <w:szCs w:val="24"/>
          <w:highlight w:val="none"/>
        </w:rPr>
        <w:instrText xml:space="preserve">STYLEREF 1\s</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z w:val="24"/>
          <w:szCs w:val="24"/>
          <w:highlight w:val="none"/>
        </w:rPr>
        <w:t>7</w:t>
      </w:r>
      <w:r>
        <w:rPr>
          <w:rFonts w:hint="eastAsia" w:ascii="仿宋_GB2312" w:hAnsi="仿宋_GB2312" w:eastAsia="仿宋_GB2312" w:cs="仿宋_GB2312"/>
          <w:sz w:val="24"/>
          <w:szCs w:val="24"/>
          <w:highlight w:val="none"/>
        </w:rPr>
        <w:fldChar w:fldCharType="end"/>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sz w:val="24"/>
          <w:szCs w:val="24"/>
          <w:highlight w:val="none"/>
        </w:rPr>
        <w:fldChar w:fldCharType="begin"/>
      </w:r>
      <w:r>
        <w:rPr>
          <w:rFonts w:hint="eastAsia" w:ascii="仿宋_GB2312" w:hAnsi="仿宋_GB2312" w:eastAsia="仿宋_GB2312" w:cs="仿宋_GB2312"/>
          <w:sz w:val="24"/>
          <w:szCs w:val="24"/>
          <w:highlight w:val="none"/>
        </w:rPr>
        <w:instrText xml:space="preserve">SEQ图\*ARABIC\s 1</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z w:val="24"/>
          <w:szCs w:val="24"/>
          <w:highlight w:val="none"/>
        </w:rPr>
        <w:t>1</w:t>
      </w:r>
      <w:r>
        <w:rPr>
          <w:rFonts w:hint="eastAsia" w:ascii="仿宋_GB2312" w:hAnsi="仿宋_GB2312" w:eastAsia="仿宋_GB2312" w:cs="仿宋_GB2312"/>
          <w:sz w:val="24"/>
          <w:szCs w:val="24"/>
          <w:highlight w:val="none"/>
        </w:rPr>
        <w:fldChar w:fldCharType="end"/>
      </w:r>
      <w:bookmarkEnd w:id="181"/>
      <w:r>
        <w:rPr>
          <w:rFonts w:hint="eastAsia" w:ascii="仿宋_GB2312" w:hAnsi="仿宋_GB2312" w:eastAsia="仿宋_GB2312" w:cs="仿宋_GB2312"/>
          <w:sz w:val="24"/>
          <w:szCs w:val="24"/>
          <w:highlight w:val="none"/>
        </w:rPr>
        <w:t>工程配水干管布置图</w:t>
      </w:r>
    </w:p>
    <w:p w14:paraId="5D0F2478">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textAlignment w:val="auto"/>
        <w:rPr>
          <w:rFonts w:hint="eastAsia" w:ascii="仿宋_GB2312" w:hAnsi="仿宋_GB2312" w:eastAsia="仿宋_GB2312" w:cs="仿宋_GB2312"/>
          <w:sz w:val="32"/>
          <w:szCs w:val="32"/>
          <w:highlight w:val="none"/>
        </w:rPr>
      </w:pPr>
      <w:bookmarkStart w:id="182" w:name="_Toc7120"/>
      <w:bookmarkStart w:id="183" w:name="_Toc9908"/>
      <w:r>
        <w:rPr>
          <w:rFonts w:hint="eastAsia" w:ascii="仿宋_GB2312" w:hAnsi="仿宋_GB2312" w:eastAsia="仿宋_GB2312" w:cs="仿宋_GB2312"/>
          <w:sz w:val="32"/>
          <w:szCs w:val="32"/>
          <w:highlight w:val="none"/>
        </w:rPr>
        <w:t>配水管道管材选择</w:t>
      </w:r>
      <w:bookmarkEnd w:id="182"/>
      <w:bookmarkEnd w:id="183"/>
    </w:p>
    <w:p w14:paraId="28F706C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输配水工程中常用的管材有球墨铸铁管、预应力钢筋砼管（三阶段）、钢套筒预应力钢筋砼管（PCCP管）、PE管、钢管和离心浇铸夹砂玻璃钢管（HOBAS管）等，根据工程的具体特点和市场供应条件选用。应用较多的管材有球墨铸铁管、PE管和钢管。</w:t>
      </w:r>
    </w:p>
    <w:p w14:paraId="27CCE64D">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（1）球墨铸铁管</w:t>
      </w:r>
    </w:p>
    <w:p w14:paraId="7AABED2A">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球墨铸铁管是一种优质管材，但价格较高，最大口径可到DN2000。球墨铸铁管阻力小，输水能力大，重量轻，安装方便，防腐能力强，其主要特点有：</w:t>
      </w:r>
    </w:p>
    <w:p w14:paraId="30B6524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①具有较高的承压能力；</w:t>
      </w:r>
    </w:p>
    <w:p w14:paraId="5D7E53F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②具有良好的防腐性能；一般内防腐采用水泥砂浆衬里，外防腐采用喷锌和煤沥青防腐漆；</w:t>
      </w:r>
    </w:p>
    <w:p w14:paraId="5268081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③密封性好；</w:t>
      </w:r>
    </w:p>
    <w:p w14:paraId="7C0B40A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④接口为柔性，抗震性能高；</w:t>
      </w:r>
    </w:p>
    <w:p w14:paraId="56BB5E5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⑤承受内压高和受外荷载大，耐腐蚀性强，管内壁光滑（内衬防腐层为水泥砂浆）可防二次污染，采用T型橡胶圈柔性接口，严密性强，漏耗水量少，节能，使用寿命长。</w:t>
      </w:r>
    </w:p>
    <w:p w14:paraId="6D201BF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（2）PE管</w:t>
      </w:r>
    </w:p>
    <w:p w14:paraId="03DE523D">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PE管道较轻，不需防腐，施工方便并具有光滑的管道内壁，比其他管道的摩擦阻力系数小，可节省输水运行成本，且施工费用低。其主要特点如下：</w:t>
      </w:r>
    </w:p>
    <w:p w14:paraId="0305B0ED">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①寿命较长、防腐防渗性好、抗强酸强碱能力强、内壁水阻小且后期维护费用低、一次性投资长期耐用；</w:t>
      </w:r>
    </w:p>
    <w:p w14:paraId="0C612182">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②管道高柔韧性，弯曲方便；</w:t>
      </w:r>
    </w:p>
    <w:p w14:paraId="054F2E8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③大管径抗外压变形较大；</w:t>
      </w:r>
    </w:p>
    <w:p w14:paraId="49B9BC2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④重量小，便于运输；</w:t>
      </w:r>
    </w:p>
    <w:p w14:paraId="7573955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⑤连接方便，密封性好。</w:t>
      </w:r>
    </w:p>
    <w:p w14:paraId="6E35CD0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（3）钢管</w:t>
      </w:r>
    </w:p>
    <w:p w14:paraId="210760E2">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钢管是一种在各行业广泛应</w:t>
      </w:r>
      <w:r>
        <w:rPr>
          <w:rFonts w:hint="eastAsia" w:ascii="仿宋_GB2312" w:hAnsi="仿宋_GB2312" w:eastAsia="仿宋_GB2312" w:cs="仿宋_GB2312"/>
          <w:sz w:val="32"/>
          <w:szCs w:val="32"/>
          <w:highlight w:val="none"/>
          <w:lang w:eastAsia="zh-CN"/>
        </w:rPr>
        <w:t>用的</w:t>
      </w:r>
      <w:r>
        <w:rPr>
          <w:rFonts w:hint="eastAsia" w:ascii="仿宋_GB2312" w:hAnsi="仿宋_GB2312" w:eastAsia="仿宋_GB2312" w:cs="仿宋_GB2312"/>
          <w:sz w:val="32"/>
          <w:szCs w:val="32"/>
          <w:highlight w:val="none"/>
        </w:rPr>
        <w:t>管材，具有长久的应用历史，丰富的使用经验。城市供水用钢管通常选用Q235（中国普通碳素钢标准号）钢板制作，它的强度高，具有良好的韧性，管材及管件易加工。SP管具有以下特点：</w:t>
      </w:r>
    </w:p>
    <w:p w14:paraId="331C81C3">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①可设计性强。因钢管环向强度、弹性模量较高，根据承受的内水压力和管顶外荷载条件，对钢管的刚度、强度和稳定计算，以确定管径、管型和管壁厚度。</w:t>
      </w:r>
    </w:p>
    <w:p w14:paraId="67AAF080">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②管道内、外壁需做除锈和防腐处理，长距离输水管线还可以辅以电化学保护，以延长其使用寿命。</w:t>
      </w:r>
    </w:p>
    <w:p w14:paraId="23D9567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③能适应各种地质条件，一般情况下不需做管道基础处理，适用性强。</w:t>
      </w:r>
    </w:p>
    <w:p w14:paraId="63D6BF49">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④接口采用焊接，焊接质量达到规范要求情况下，不会发生渗漏。</w:t>
      </w:r>
    </w:p>
    <w:p w14:paraId="40754C3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⑤管道配件可按实际需要进行设计和制作。</w:t>
      </w:r>
    </w:p>
    <w:p w14:paraId="6EFA3EC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⑥除锈和防腐层的质量好坏，对使用年限有较大影响，因此，必须按国家规范要求做除锈和防腐层。</w:t>
      </w:r>
    </w:p>
    <w:p w14:paraId="1148811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由于普通钢管的内、外壁需做除锈和防腐处理，而且除锈和防腐层的质量好坏，对使用年限有较大影响，加上工程区域的地表水、地下水、土壤对钢结构一般具有弱～中等腐蚀性，局部为强腐蚀性，因此，除了原水管多采用普通钢管外，大范围配水干管多采用抗腐蚀性能高的管道。</w:t>
      </w:r>
    </w:p>
    <w:p w14:paraId="258C1203">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各种管材优缺点比较见</w:t>
      </w: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REF_Ref197816727\h\*MERGEFORMAT</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表7</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sz w:val="32"/>
          <w:szCs w:val="32"/>
          <w:highlight w:val="none"/>
        </w:rPr>
        <w:t>。</w:t>
      </w:r>
    </w:p>
    <w:p w14:paraId="099BD6B5">
      <w:pPr>
        <w:spacing w:before="156"/>
        <w:ind w:firstLine="0" w:firstLineChars="0"/>
        <w:jc w:val="center"/>
        <w:rPr>
          <w:rFonts w:hint="eastAsia" w:ascii="仿宋_GB2312" w:hAnsi="仿宋_GB2312" w:eastAsia="仿宋_GB2312" w:cs="仿宋_GB2312"/>
          <w:sz w:val="24"/>
          <w:szCs w:val="24"/>
          <w:highlight w:val="none"/>
        </w:rPr>
      </w:pPr>
      <w:bookmarkStart w:id="184" w:name="_Ref197816727"/>
      <w:bookmarkStart w:id="185" w:name="_Ref197816723"/>
      <w:r>
        <w:rPr>
          <w:rFonts w:hint="eastAsia" w:ascii="仿宋_GB2312" w:hAnsi="仿宋_GB2312" w:eastAsia="仿宋_GB2312" w:cs="仿宋_GB2312"/>
          <w:sz w:val="24"/>
          <w:szCs w:val="24"/>
          <w:highlight w:val="none"/>
        </w:rPr>
        <w:t>表</w:t>
      </w:r>
      <w:r>
        <w:rPr>
          <w:rFonts w:hint="eastAsia" w:ascii="仿宋_GB2312" w:hAnsi="仿宋_GB2312" w:eastAsia="仿宋_GB2312" w:cs="仿宋_GB2312"/>
          <w:sz w:val="24"/>
          <w:szCs w:val="24"/>
          <w:highlight w:val="none"/>
        </w:rPr>
        <w:fldChar w:fldCharType="begin"/>
      </w:r>
      <w:r>
        <w:rPr>
          <w:rFonts w:hint="eastAsia" w:ascii="仿宋_GB2312" w:hAnsi="仿宋_GB2312" w:eastAsia="仿宋_GB2312" w:cs="仿宋_GB2312"/>
          <w:sz w:val="24"/>
          <w:szCs w:val="24"/>
          <w:highlight w:val="none"/>
        </w:rPr>
        <w:instrText xml:space="preserve">STYLEREF 1\s</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z w:val="24"/>
          <w:szCs w:val="24"/>
          <w:highlight w:val="none"/>
        </w:rPr>
        <w:t>7</w:t>
      </w:r>
      <w:r>
        <w:rPr>
          <w:rFonts w:hint="eastAsia" w:ascii="仿宋_GB2312" w:hAnsi="仿宋_GB2312" w:eastAsia="仿宋_GB2312" w:cs="仿宋_GB2312"/>
          <w:sz w:val="24"/>
          <w:szCs w:val="24"/>
          <w:highlight w:val="none"/>
        </w:rPr>
        <w:fldChar w:fldCharType="end"/>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sz w:val="24"/>
          <w:szCs w:val="24"/>
          <w:highlight w:val="none"/>
        </w:rPr>
        <w:fldChar w:fldCharType="begin"/>
      </w:r>
      <w:r>
        <w:rPr>
          <w:rFonts w:hint="eastAsia" w:ascii="仿宋_GB2312" w:hAnsi="仿宋_GB2312" w:eastAsia="仿宋_GB2312" w:cs="仿宋_GB2312"/>
          <w:sz w:val="24"/>
          <w:szCs w:val="24"/>
          <w:highlight w:val="none"/>
        </w:rPr>
        <w:instrText xml:space="preserve">SEQ表\*ARABIC\s 1</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z w:val="24"/>
          <w:szCs w:val="24"/>
          <w:highlight w:val="none"/>
        </w:rPr>
        <w:t>1</w:t>
      </w:r>
      <w:r>
        <w:rPr>
          <w:rFonts w:hint="eastAsia" w:ascii="仿宋_GB2312" w:hAnsi="仿宋_GB2312" w:eastAsia="仿宋_GB2312" w:cs="仿宋_GB2312"/>
          <w:sz w:val="24"/>
          <w:szCs w:val="24"/>
          <w:highlight w:val="none"/>
        </w:rPr>
        <w:fldChar w:fldCharType="end"/>
      </w:r>
      <w:bookmarkEnd w:id="184"/>
      <w:r>
        <w:rPr>
          <w:rFonts w:hint="eastAsia" w:ascii="仿宋_GB2312" w:hAnsi="仿宋_GB2312" w:eastAsia="仿宋_GB2312" w:cs="仿宋_GB2312"/>
          <w:sz w:val="24"/>
          <w:szCs w:val="24"/>
          <w:highlight w:val="none"/>
        </w:rPr>
        <w:t>管材优缺点比较表</w:t>
      </w:r>
      <w:bookmarkEnd w:id="185"/>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182"/>
        <w:gridCol w:w="3517"/>
        <w:gridCol w:w="3663"/>
      </w:tblGrid>
      <w:tr w14:paraId="3CE60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blHeader/>
        </w:trPr>
        <w:tc>
          <w:tcPr>
            <w:tcW w:w="707" w:type="pct"/>
            <w:vAlign w:val="center"/>
          </w:tcPr>
          <w:p w14:paraId="3A889A85">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管材</w:t>
            </w:r>
          </w:p>
        </w:tc>
        <w:tc>
          <w:tcPr>
            <w:tcW w:w="2103" w:type="pct"/>
            <w:vAlign w:val="center"/>
          </w:tcPr>
          <w:p w14:paraId="259CC612">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优点</w:t>
            </w:r>
          </w:p>
        </w:tc>
        <w:tc>
          <w:tcPr>
            <w:tcW w:w="2190" w:type="pct"/>
            <w:vAlign w:val="center"/>
          </w:tcPr>
          <w:p w14:paraId="0A676DA5">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缺点</w:t>
            </w:r>
          </w:p>
        </w:tc>
      </w:tr>
      <w:tr w14:paraId="380D0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701" w:hRule="atLeast"/>
        </w:trPr>
        <w:tc>
          <w:tcPr>
            <w:tcW w:w="707" w:type="pct"/>
            <w:vAlign w:val="center"/>
          </w:tcPr>
          <w:p w14:paraId="5F09EE9F">
            <w:pPr>
              <w:spacing w:line="24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球墨铸铁管（DIP）</w:t>
            </w:r>
          </w:p>
        </w:tc>
        <w:tc>
          <w:tcPr>
            <w:tcW w:w="2103" w:type="pct"/>
            <w:vAlign w:val="center"/>
          </w:tcPr>
          <w:p w14:paraId="1B142507">
            <w:pPr>
              <w:spacing w:line="24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2"/>
                <w:sz w:val="24"/>
                <w:szCs w:val="24"/>
                <w:highlight w:val="none"/>
              </w:rPr>
              <w:t>强度高，防腐及密封性能好，具有良好的可挠性和</w:t>
            </w:r>
            <w:r>
              <w:rPr>
                <w:rFonts w:hint="eastAsia" w:ascii="仿宋_GB2312" w:hAnsi="仿宋_GB2312" w:eastAsia="仿宋_GB2312" w:cs="仿宋_GB2312"/>
                <w:sz w:val="24"/>
                <w:szCs w:val="24"/>
                <w:highlight w:val="none"/>
              </w:rPr>
              <w:t>伸缩性，能吸收因地基沉降而产生的压力，避免管道破裂，使用寿命最长，且安装简单快捷。</w:t>
            </w:r>
          </w:p>
        </w:tc>
        <w:tc>
          <w:tcPr>
            <w:tcW w:w="2190" w:type="pct"/>
            <w:vAlign w:val="center"/>
          </w:tcPr>
          <w:p w14:paraId="6EDD3A28">
            <w:pPr>
              <w:spacing w:line="24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价格高，重量较重。</w:t>
            </w:r>
          </w:p>
        </w:tc>
      </w:tr>
      <w:tr w14:paraId="72173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707" w:type="pct"/>
            <w:vAlign w:val="center"/>
          </w:tcPr>
          <w:p w14:paraId="67FA3175">
            <w:pPr>
              <w:spacing w:line="240" w:lineRule="auto"/>
              <w:ind w:firstLine="0" w:firstLineChars="0"/>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聚乙烯管（PE）</w:t>
            </w:r>
          </w:p>
        </w:tc>
        <w:tc>
          <w:tcPr>
            <w:tcW w:w="2103" w:type="pct"/>
            <w:vAlign w:val="center"/>
          </w:tcPr>
          <w:p w14:paraId="04485170">
            <w:pPr>
              <w:widowControl/>
              <w:spacing w:line="240" w:lineRule="auto"/>
              <w:ind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①寿命较长、防腐防渗性好、抗强酸强碱能力强、内壁水阻小且后期维护费用低、一次性投资长期耐用</w:t>
            </w:r>
          </w:p>
          <w:p w14:paraId="6568F9CC">
            <w:pPr>
              <w:spacing w:line="240" w:lineRule="auto"/>
              <w:ind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②管道高柔韧性，小角度可自行弯曲</w:t>
            </w:r>
          </w:p>
          <w:p w14:paraId="0743E539">
            <w:pPr>
              <w:spacing w:line="240" w:lineRule="auto"/>
              <w:ind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③小口径PE管在性能价格比上优于钢管和球墨铸铁管。</w:t>
            </w:r>
          </w:p>
          <w:p w14:paraId="52BD7494">
            <w:pPr>
              <w:spacing w:line="240" w:lineRule="auto"/>
              <w:ind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④高密度聚乙烯（HDPE）管具有较高的强度，广泛用于城市燃气及供水管道上。</w:t>
            </w:r>
          </w:p>
        </w:tc>
        <w:tc>
          <w:tcPr>
            <w:tcW w:w="2190" w:type="pct"/>
            <w:vAlign w:val="center"/>
          </w:tcPr>
          <w:p w14:paraId="492E266F">
            <w:pPr>
              <w:widowControl/>
              <w:spacing w:line="240" w:lineRule="auto"/>
              <w:ind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①苯、汽油、四氯化碳等有机溶剂对聚乙烯有一定影响。有机溶剂如果渗入聚乙烯内，会出现溶胀现象，其物理性能就下降，其耐压性、耐温度变化性能较差。</w:t>
            </w:r>
          </w:p>
          <w:p w14:paraId="0A8553E8">
            <w:pPr>
              <w:spacing w:line="240" w:lineRule="auto"/>
              <w:ind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②刚度相对较小，一般用钢带增强聚乙烯（PE）螺旋波纹管。</w:t>
            </w:r>
          </w:p>
          <w:p w14:paraId="37F0AE1E">
            <w:pPr>
              <w:spacing w:line="240" w:lineRule="auto"/>
              <w:ind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③大管径壁厚较厚。</w:t>
            </w:r>
          </w:p>
          <w:p w14:paraId="27548FA3">
            <w:pPr>
              <w:spacing w:line="240" w:lineRule="auto"/>
              <w:ind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④大管径抗外压变形能力小。</w:t>
            </w:r>
          </w:p>
        </w:tc>
      </w:tr>
      <w:tr w14:paraId="34015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707" w:type="pct"/>
            <w:vAlign w:val="center"/>
          </w:tcPr>
          <w:p w14:paraId="7FEA1EF4">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钢管（SP）</w:t>
            </w:r>
          </w:p>
        </w:tc>
        <w:tc>
          <w:tcPr>
            <w:tcW w:w="2103" w:type="pct"/>
            <w:vAlign w:val="center"/>
          </w:tcPr>
          <w:p w14:paraId="53B26FCC">
            <w:pPr>
              <w:spacing w:line="24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4"/>
                <w:sz w:val="24"/>
                <w:szCs w:val="24"/>
                <w:highlight w:val="none"/>
              </w:rPr>
              <w:t>管材强度较高，耐工作压力高，施工敷设方便，适应性强，接口形式灵活，管道渗漏量较少，单位管长重量较轻，可用来埋设穿越各种障碍。</w:t>
            </w:r>
          </w:p>
        </w:tc>
        <w:tc>
          <w:tcPr>
            <w:tcW w:w="2190" w:type="pct"/>
            <w:vAlign w:val="center"/>
          </w:tcPr>
          <w:p w14:paraId="7F77DA5E">
            <w:pPr>
              <w:spacing w:line="24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耐腐蚀性较差，除内外壁均需做常规防腐处理外，在不良水文地质地段敷设时尚需考虑采用特殊防腐措施。</w:t>
            </w:r>
          </w:p>
        </w:tc>
      </w:tr>
    </w:tbl>
    <w:p w14:paraId="31CB44A7">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此外，通过分别对球墨铸铁管、PE管和钢管进行市场询价，根据每种管材三个知名厂家的报价，并考虑安装、防腐、沟槽开挖回填施工等费用，取平均值得到下表的综合单价。</w:t>
      </w:r>
    </w:p>
    <w:p w14:paraId="5E15788F">
      <w:pPr>
        <w:spacing w:before="156"/>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表</w:t>
      </w:r>
      <w:r>
        <w:rPr>
          <w:rFonts w:hint="eastAsia" w:ascii="仿宋_GB2312" w:hAnsi="仿宋_GB2312" w:eastAsia="仿宋_GB2312" w:cs="仿宋_GB2312"/>
          <w:sz w:val="24"/>
          <w:szCs w:val="24"/>
          <w:highlight w:val="none"/>
        </w:rPr>
        <w:fldChar w:fldCharType="begin"/>
      </w:r>
      <w:r>
        <w:rPr>
          <w:rFonts w:hint="eastAsia" w:ascii="仿宋_GB2312" w:hAnsi="仿宋_GB2312" w:eastAsia="仿宋_GB2312" w:cs="仿宋_GB2312"/>
          <w:sz w:val="24"/>
          <w:szCs w:val="24"/>
          <w:highlight w:val="none"/>
        </w:rPr>
        <w:instrText xml:space="preserve">STYLEREF 1\s</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z w:val="24"/>
          <w:szCs w:val="24"/>
          <w:highlight w:val="none"/>
        </w:rPr>
        <w:t>7</w:t>
      </w:r>
      <w:r>
        <w:rPr>
          <w:rFonts w:hint="eastAsia" w:ascii="仿宋_GB2312" w:hAnsi="仿宋_GB2312" w:eastAsia="仿宋_GB2312" w:cs="仿宋_GB2312"/>
          <w:sz w:val="24"/>
          <w:szCs w:val="24"/>
          <w:highlight w:val="none"/>
        </w:rPr>
        <w:fldChar w:fldCharType="end"/>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sz w:val="24"/>
          <w:szCs w:val="24"/>
          <w:highlight w:val="none"/>
        </w:rPr>
        <w:fldChar w:fldCharType="begin"/>
      </w:r>
      <w:r>
        <w:rPr>
          <w:rFonts w:hint="eastAsia" w:ascii="仿宋_GB2312" w:hAnsi="仿宋_GB2312" w:eastAsia="仿宋_GB2312" w:cs="仿宋_GB2312"/>
          <w:sz w:val="24"/>
          <w:szCs w:val="24"/>
          <w:highlight w:val="none"/>
        </w:rPr>
        <w:instrText xml:space="preserve">SEQ表\*ARABIC\s 1</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z w:val="24"/>
          <w:szCs w:val="24"/>
          <w:highlight w:val="none"/>
        </w:rPr>
        <w:t>2</w:t>
      </w:r>
      <w:r>
        <w:rPr>
          <w:rFonts w:hint="eastAsia" w:ascii="仿宋_GB2312" w:hAnsi="仿宋_GB2312" w:eastAsia="仿宋_GB2312" w:cs="仿宋_GB2312"/>
          <w:sz w:val="24"/>
          <w:szCs w:val="24"/>
          <w:highlight w:val="none"/>
        </w:rPr>
        <w:fldChar w:fldCharType="end"/>
      </w:r>
      <w:r>
        <w:rPr>
          <w:rFonts w:hint="eastAsia" w:ascii="仿宋_GB2312" w:hAnsi="仿宋_GB2312" w:eastAsia="仿宋_GB2312" w:cs="仿宋_GB2312"/>
          <w:sz w:val="24"/>
          <w:szCs w:val="24"/>
          <w:highlight w:val="none"/>
        </w:rPr>
        <w:t>管道价格情况表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745"/>
        <w:gridCol w:w="2218"/>
        <w:gridCol w:w="2320"/>
        <w:gridCol w:w="2079"/>
      </w:tblGrid>
      <w:tr w14:paraId="3993D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44" w:type="pct"/>
            <w:vMerge w:val="restart"/>
            <w:noWrap/>
            <w:vAlign w:val="center"/>
          </w:tcPr>
          <w:p w14:paraId="78BEE122">
            <w:pPr>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管径</w:t>
            </w:r>
          </w:p>
        </w:tc>
        <w:tc>
          <w:tcPr>
            <w:tcW w:w="3956" w:type="pct"/>
            <w:gridSpan w:val="3"/>
            <w:vAlign w:val="center"/>
          </w:tcPr>
          <w:p w14:paraId="4DCFD7BA">
            <w:pPr>
              <w:ind w:firstLine="48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综合单价（元/m）</w:t>
            </w:r>
          </w:p>
        </w:tc>
      </w:tr>
      <w:tr w14:paraId="1D087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44" w:type="pct"/>
            <w:vMerge w:val="continue"/>
            <w:vAlign w:val="center"/>
          </w:tcPr>
          <w:p w14:paraId="77990E31">
            <w:pPr>
              <w:ind w:firstLine="480"/>
              <w:jc w:val="center"/>
              <w:rPr>
                <w:rFonts w:hint="eastAsia" w:ascii="仿宋_GB2312" w:hAnsi="仿宋_GB2312" w:eastAsia="仿宋_GB2312" w:cs="仿宋_GB2312"/>
                <w:sz w:val="24"/>
                <w:szCs w:val="24"/>
                <w:highlight w:val="none"/>
              </w:rPr>
            </w:pPr>
          </w:p>
        </w:tc>
        <w:tc>
          <w:tcPr>
            <w:tcW w:w="1326" w:type="pct"/>
            <w:vAlign w:val="center"/>
          </w:tcPr>
          <w:p w14:paraId="45C26D41">
            <w:pPr>
              <w:ind w:left="0" w:leftChars="0"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球墨铸铁管（K9）</w:t>
            </w:r>
          </w:p>
        </w:tc>
        <w:tc>
          <w:tcPr>
            <w:tcW w:w="1387" w:type="pct"/>
            <w:vAlign w:val="center"/>
          </w:tcPr>
          <w:p w14:paraId="4EE62F67">
            <w:pPr>
              <w:ind w:left="0" w:leftChars="0"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PE100(0.8MPa)</w:t>
            </w:r>
          </w:p>
        </w:tc>
        <w:tc>
          <w:tcPr>
            <w:tcW w:w="1243" w:type="pct"/>
            <w:vAlign w:val="center"/>
          </w:tcPr>
          <w:p w14:paraId="6FB5659F">
            <w:pPr>
              <w:ind w:firstLine="48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普通钢管</w:t>
            </w:r>
          </w:p>
        </w:tc>
      </w:tr>
      <w:tr w14:paraId="158E3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44" w:type="pct"/>
            <w:noWrap/>
            <w:vAlign w:val="center"/>
          </w:tcPr>
          <w:p w14:paraId="67F66B1A">
            <w:pPr>
              <w:ind w:firstLine="48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DN50</w:t>
            </w:r>
          </w:p>
        </w:tc>
        <w:tc>
          <w:tcPr>
            <w:tcW w:w="1326" w:type="pct"/>
            <w:noWrap/>
            <w:vAlign w:val="center"/>
          </w:tcPr>
          <w:p w14:paraId="7377A21A">
            <w:pPr>
              <w:ind w:firstLine="48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w:t>
            </w:r>
          </w:p>
        </w:tc>
        <w:tc>
          <w:tcPr>
            <w:tcW w:w="1387" w:type="pct"/>
            <w:noWrap/>
            <w:vAlign w:val="center"/>
          </w:tcPr>
          <w:p w14:paraId="4F92C198">
            <w:pPr>
              <w:ind w:firstLine="48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187</w:t>
            </w:r>
          </w:p>
        </w:tc>
        <w:tc>
          <w:tcPr>
            <w:tcW w:w="1243" w:type="pct"/>
            <w:vAlign w:val="center"/>
          </w:tcPr>
          <w:p w14:paraId="4C19D1B0">
            <w:pPr>
              <w:ind w:firstLine="48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207</w:t>
            </w:r>
          </w:p>
        </w:tc>
      </w:tr>
      <w:tr w14:paraId="2DCA7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44" w:type="pct"/>
            <w:noWrap/>
            <w:vAlign w:val="center"/>
          </w:tcPr>
          <w:p w14:paraId="0B9D3902">
            <w:pPr>
              <w:ind w:firstLine="48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DN100</w:t>
            </w:r>
          </w:p>
        </w:tc>
        <w:tc>
          <w:tcPr>
            <w:tcW w:w="1326" w:type="pct"/>
            <w:noWrap/>
            <w:vAlign w:val="center"/>
          </w:tcPr>
          <w:p w14:paraId="29A0BF05">
            <w:pPr>
              <w:ind w:firstLine="48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390</w:t>
            </w:r>
          </w:p>
        </w:tc>
        <w:tc>
          <w:tcPr>
            <w:tcW w:w="1387" w:type="pct"/>
            <w:noWrap/>
            <w:vAlign w:val="center"/>
          </w:tcPr>
          <w:p w14:paraId="16CCECA0">
            <w:pPr>
              <w:ind w:firstLine="48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331</w:t>
            </w:r>
          </w:p>
        </w:tc>
        <w:tc>
          <w:tcPr>
            <w:tcW w:w="1243" w:type="pct"/>
            <w:vAlign w:val="center"/>
          </w:tcPr>
          <w:p w14:paraId="4E9E6661">
            <w:pPr>
              <w:widowControl/>
              <w:ind w:firstLine="48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325</w:t>
            </w:r>
          </w:p>
        </w:tc>
      </w:tr>
      <w:tr w14:paraId="779E3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44" w:type="pct"/>
            <w:noWrap/>
            <w:vAlign w:val="center"/>
          </w:tcPr>
          <w:p w14:paraId="4A3E5F7D">
            <w:pPr>
              <w:ind w:firstLine="48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DN150</w:t>
            </w:r>
          </w:p>
        </w:tc>
        <w:tc>
          <w:tcPr>
            <w:tcW w:w="1326" w:type="pct"/>
            <w:noWrap/>
            <w:vAlign w:val="center"/>
          </w:tcPr>
          <w:p w14:paraId="55E222E3">
            <w:pPr>
              <w:ind w:firstLine="480"/>
              <w:jc w:val="center"/>
              <w:rPr>
                <w:rFonts w:hint="eastAsia" w:ascii="仿宋_GB2312" w:hAnsi="仿宋_GB2312" w:eastAsia="仿宋_GB2312" w:cs="仿宋_GB2312"/>
                <w:sz w:val="24"/>
                <w:szCs w:val="24"/>
                <w:highlight w:val="none"/>
              </w:rPr>
            </w:pPr>
          </w:p>
        </w:tc>
        <w:tc>
          <w:tcPr>
            <w:tcW w:w="1387" w:type="pct"/>
            <w:noWrap/>
            <w:vAlign w:val="center"/>
          </w:tcPr>
          <w:p w14:paraId="5F614E8E">
            <w:pPr>
              <w:ind w:firstLine="480"/>
              <w:jc w:val="center"/>
              <w:rPr>
                <w:rFonts w:hint="eastAsia" w:ascii="仿宋_GB2312" w:hAnsi="仿宋_GB2312" w:eastAsia="仿宋_GB2312" w:cs="仿宋_GB2312"/>
                <w:sz w:val="24"/>
                <w:szCs w:val="24"/>
                <w:highlight w:val="none"/>
              </w:rPr>
            </w:pPr>
          </w:p>
        </w:tc>
        <w:tc>
          <w:tcPr>
            <w:tcW w:w="1243" w:type="pct"/>
            <w:vAlign w:val="center"/>
          </w:tcPr>
          <w:p w14:paraId="330F9399">
            <w:pPr>
              <w:widowControl/>
              <w:ind w:firstLine="480"/>
              <w:jc w:val="center"/>
              <w:rPr>
                <w:rFonts w:hint="eastAsia" w:ascii="仿宋_GB2312" w:hAnsi="仿宋_GB2312" w:eastAsia="仿宋_GB2312" w:cs="仿宋_GB2312"/>
                <w:sz w:val="24"/>
                <w:szCs w:val="24"/>
                <w:highlight w:val="none"/>
              </w:rPr>
            </w:pPr>
          </w:p>
        </w:tc>
      </w:tr>
      <w:tr w14:paraId="6AC5C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44" w:type="pct"/>
            <w:noWrap/>
            <w:vAlign w:val="center"/>
          </w:tcPr>
          <w:p w14:paraId="0AE35159">
            <w:pPr>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DN200</w:t>
            </w:r>
          </w:p>
        </w:tc>
        <w:tc>
          <w:tcPr>
            <w:tcW w:w="1326" w:type="pct"/>
            <w:noWrap/>
            <w:vAlign w:val="center"/>
          </w:tcPr>
          <w:p w14:paraId="4DB4850B">
            <w:pPr>
              <w:ind w:firstLine="48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544</w:t>
            </w:r>
          </w:p>
        </w:tc>
        <w:tc>
          <w:tcPr>
            <w:tcW w:w="1387" w:type="pct"/>
            <w:noWrap/>
            <w:vAlign w:val="center"/>
          </w:tcPr>
          <w:p w14:paraId="2160DC4D">
            <w:pPr>
              <w:ind w:firstLine="48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541</w:t>
            </w:r>
          </w:p>
        </w:tc>
        <w:tc>
          <w:tcPr>
            <w:tcW w:w="1243" w:type="pct"/>
            <w:vAlign w:val="center"/>
          </w:tcPr>
          <w:p w14:paraId="1BF03FA1">
            <w:pPr>
              <w:widowControl/>
              <w:ind w:firstLine="48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556</w:t>
            </w:r>
          </w:p>
        </w:tc>
      </w:tr>
    </w:tbl>
    <w:p w14:paraId="07678D59">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综上分析对比，结合南昌县给水管材使用习惯，建议本工程管径100mm≤D</w:t>
      </w:r>
      <w:bookmarkStart w:id="186" w:name="OLE_LINK116"/>
      <w:r>
        <w:rPr>
          <w:rFonts w:hint="eastAsia" w:ascii="仿宋_GB2312" w:hAnsi="仿宋_GB2312" w:eastAsia="仿宋_GB2312" w:cs="仿宋_GB2312"/>
          <w:sz w:val="32"/>
          <w:szCs w:val="32"/>
          <w:highlight w:val="none"/>
        </w:rPr>
        <w:t>≤</w:t>
      </w:r>
      <w:bookmarkEnd w:id="186"/>
      <w:r>
        <w:rPr>
          <w:rFonts w:hint="eastAsia" w:ascii="仿宋_GB2312" w:hAnsi="仿宋_GB2312" w:eastAsia="仿宋_GB2312" w:cs="仿宋_GB2312"/>
          <w:sz w:val="32"/>
          <w:szCs w:val="32"/>
          <w:highlight w:val="none"/>
        </w:rPr>
        <w:t>150mm时，采用PE管；管径D＞150mm时采用球墨铸铁管，在技术上、成本上更有优势，更符合本工程的特点和要求，局部穿越河道、道路及软弱地基时，采用焊接钢管。</w:t>
      </w:r>
    </w:p>
    <w:p w14:paraId="2AA644D5">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textAlignment w:val="auto"/>
        <w:rPr>
          <w:rFonts w:hint="eastAsia" w:ascii="仿宋_GB2312" w:hAnsi="仿宋_GB2312" w:eastAsia="仿宋_GB2312" w:cs="仿宋_GB2312"/>
          <w:sz w:val="32"/>
          <w:szCs w:val="32"/>
          <w:highlight w:val="none"/>
        </w:rPr>
      </w:pPr>
      <w:bookmarkStart w:id="187" w:name="_Toc535757815"/>
      <w:bookmarkStart w:id="188" w:name="_Toc518922281"/>
      <w:bookmarkStart w:id="189" w:name="_Toc333821765"/>
      <w:bookmarkStart w:id="190" w:name="_Toc1222"/>
      <w:bookmarkStart w:id="191" w:name="_Toc267"/>
      <w:r>
        <w:rPr>
          <w:rFonts w:hint="eastAsia" w:ascii="仿宋_GB2312" w:hAnsi="仿宋_GB2312" w:eastAsia="仿宋_GB2312" w:cs="仿宋_GB2312"/>
          <w:sz w:val="32"/>
          <w:szCs w:val="32"/>
          <w:highlight w:val="none"/>
        </w:rPr>
        <w:t>管道附属设施</w:t>
      </w:r>
      <w:bookmarkEnd w:id="187"/>
      <w:bookmarkEnd w:id="188"/>
      <w:bookmarkEnd w:id="189"/>
      <w:bookmarkEnd w:id="190"/>
      <w:bookmarkEnd w:id="191"/>
    </w:p>
    <w:p w14:paraId="47AB6D6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根据配水管道设计规范和运行维护规程，管道沿线设计以下附属设施：</w:t>
      </w:r>
    </w:p>
    <w:p w14:paraId="168FFF7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（1）街坊支管：给水干管每隔100～120m预留街坊给水支管，负有消防给水任务管道的最小直径不应小于DN150。</w:t>
      </w:r>
    </w:p>
    <w:p w14:paraId="2D47B71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（2）消火栓：室外消火栓布置间距不大于120m。</w:t>
      </w:r>
    </w:p>
    <w:p w14:paraId="3348D9A8">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（3）管道沿线每隔1～2km左右或在交叉路口设一隔断阀，以便管道分段检修。</w:t>
      </w:r>
    </w:p>
    <w:p w14:paraId="0CD2E11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（4）两个隔断阀之间最低处设泄水阀，用于检修时放空管道。放空管与排泥阀井和排泥湿井配合使用，在排泥阀井中设置闸阀，避免与非生活饮用水管网连接，同时防止给水管道受到外来污染</w:t>
      </w:r>
    </w:p>
    <w:p w14:paraId="111302A2">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（5）在管道凸起处设排气阀。</w:t>
      </w:r>
    </w:p>
    <w:p w14:paraId="2158C650">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textAlignment w:val="auto"/>
        <w:rPr>
          <w:rFonts w:hint="eastAsia" w:ascii="仿宋_GB2312" w:hAnsi="仿宋_GB2312" w:eastAsia="仿宋_GB2312" w:cs="仿宋_GB2312"/>
          <w:sz w:val="32"/>
          <w:szCs w:val="32"/>
          <w:highlight w:val="none"/>
        </w:rPr>
      </w:pPr>
      <w:bookmarkStart w:id="192" w:name="_Toc535757816"/>
      <w:bookmarkStart w:id="193" w:name="_Toc25157"/>
      <w:bookmarkStart w:id="194" w:name="_Toc815"/>
      <w:bookmarkStart w:id="195" w:name="_Toc518922282"/>
      <w:bookmarkStart w:id="196" w:name="OLE_LINK107"/>
      <w:r>
        <w:rPr>
          <w:rFonts w:hint="eastAsia" w:ascii="仿宋_GB2312" w:hAnsi="仿宋_GB2312" w:eastAsia="仿宋_GB2312" w:cs="仿宋_GB2312"/>
          <w:sz w:val="32"/>
          <w:szCs w:val="32"/>
          <w:highlight w:val="none"/>
        </w:rPr>
        <w:t>管道结构设计</w:t>
      </w:r>
      <w:bookmarkEnd w:id="192"/>
      <w:bookmarkEnd w:id="193"/>
      <w:bookmarkEnd w:id="194"/>
      <w:bookmarkEnd w:id="195"/>
    </w:p>
    <w:bookmarkEnd w:id="196"/>
    <w:p w14:paraId="65BCAD2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bookmarkStart w:id="197" w:name="_Toc518922283"/>
      <w:bookmarkStart w:id="198" w:name="_Toc535757817"/>
      <w:r>
        <w:rPr>
          <w:rFonts w:hint="eastAsia" w:ascii="仿宋_GB2312" w:hAnsi="仿宋_GB2312" w:eastAsia="仿宋_GB2312" w:cs="仿宋_GB2312"/>
          <w:sz w:val="32"/>
          <w:szCs w:val="32"/>
          <w:highlight w:val="none"/>
        </w:rPr>
        <w:t>结构设计的原则是：技术先进、经济合理、安全适用、确保质量、方便施工。</w:t>
      </w:r>
    </w:p>
    <w:p w14:paraId="124B6C97">
      <w:pPr>
        <w:pStyle w:val="7"/>
        <w:pageBreakBefore w:val="0"/>
        <w:widowControl w:val="0"/>
        <w:numPr>
          <w:ilvl w:val="3"/>
          <w:numId w:val="6"/>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bookmarkStart w:id="199" w:name="_Toc425255622"/>
      <w:bookmarkStart w:id="200" w:name="_Toc1347"/>
      <w:bookmarkStart w:id="201" w:name="_Toc49864938"/>
      <w:bookmarkStart w:id="202" w:name="_Toc155088106"/>
      <w:bookmarkStart w:id="203" w:name="_Toc170371288"/>
      <w:bookmarkStart w:id="204" w:name="_Toc434828016"/>
      <w:bookmarkStart w:id="205" w:name="_Toc49830930"/>
      <w:bookmarkStart w:id="206" w:name="_Toc425255154"/>
      <w:r>
        <w:rPr>
          <w:rFonts w:hint="eastAsia" w:ascii="仿宋_GB2312" w:hAnsi="仿宋_GB2312" w:eastAsia="仿宋_GB2312" w:cs="仿宋_GB2312"/>
          <w:sz w:val="32"/>
          <w:szCs w:val="32"/>
          <w:highlight w:val="none"/>
        </w:rPr>
        <w:t>自然条件</w:t>
      </w:r>
      <w:bookmarkEnd w:id="199"/>
      <w:bookmarkEnd w:id="200"/>
      <w:bookmarkEnd w:id="201"/>
      <w:bookmarkEnd w:id="202"/>
      <w:bookmarkEnd w:id="203"/>
      <w:bookmarkEnd w:id="204"/>
      <w:bookmarkEnd w:id="205"/>
      <w:bookmarkEnd w:id="206"/>
    </w:p>
    <w:p w14:paraId="729191E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（1）工程地址</w:t>
      </w:r>
    </w:p>
    <w:p w14:paraId="55973BD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本项目建设地址位于江西省南昌市南昌县。</w:t>
      </w:r>
    </w:p>
    <w:p w14:paraId="25DF506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（2）基本风压：0.45kN/m2；地面粗糙度：B类、C类。</w:t>
      </w:r>
    </w:p>
    <w:p w14:paraId="031BE96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（3）抗震设防烈度</w:t>
      </w:r>
    </w:p>
    <w:p w14:paraId="60D56BB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根据国家标准《中国地震动参数区划图》（GB18306-2015）和《建筑抗震设计规范（2016年版）》（GB50011-2010），南昌县抗震设防烈度为6度，地震加速度0.05g；设计地震分组为第一组。</w:t>
      </w:r>
    </w:p>
    <w:p w14:paraId="7692CCE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（4）设计地下水位：设计地面下0.5 m。</w:t>
      </w:r>
    </w:p>
    <w:p w14:paraId="78CCE229">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（5）建筑场地类别：Ⅱ类。</w:t>
      </w:r>
    </w:p>
    <w:p w14:paraId="670D2A1D">
      <w:pPr>
        <w:pStyle w:val="7"/>
        <w:pageBreakBefore w:val="0"/>
        <w:widowControl w:val="0"/>
        <w:numPr>
          <w:ilvl w:val="3"/>
          <w:numId w:val="6"/>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bookmarkStart w:id="207" w:name="_Toc434828017"/>
      <w:bookmarkStart w:id="208" w:name="_Toc155088107"/>
      <w:bookmarkStart w:id="209" w:name="_Toc425255155"/>
      <w:bookmarkStart w:id="210" w:name="_Toc170371289"/>
      <w:bookmarkStart w:id="211" w:name="_Toc27494"/>
      <w:bookmarkStart w:id="212" w:name="_Toc49830931"/>
      <w:bookmarkStart w:id="213" w:name="_Toc49864939"/>
      <w:bookmarkStart w:id="214" w:name="_Toc425255623"/>
      <w:r>
        <w:rPr>
          <w:rFonts w:hint="eastAsia" w:ascii="仿宋_GB2312" w:hAnsi="仿宋_GB2312" w:eastAsia="仿宋_GB2312" w:cs="仿宋_GB2312"/>
          <w:sz w:val="32"/>
          <w:szCs w:val="32"/>
          <w:highlight w:val="none"/>
        </w:rPr>
        <w:t>设计设防标准</w:t>
      </w:r>
      <w:bookmarkEnd w:id="207"/>
      <w:bookmarkEnd w:id="208"/>
      <w:bookmarkEnd w:id="209"/>
      <w:bookmarkEnd w:id="210"/>
      <w:bookmarkEnd w:id="211"/>
      <w:bookmarkEnd w:id="212"/>
      <w:bookmarkEnd w:id="213"/>
      <w:bookmarkEnd w:id="214"/>
    </w:p>
    <w:p w14:paraId="7F159809">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（1）工程重要性等级：二级；</w:t>
      </w:r>
    </w:p>
    <w:p w14:paraId="7A769AFC">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（2）建（构）筑物主体结构设计使用年限：50年；</w:t>
      </w:r>
    </w:p>
    <w:p w14:paraId="3324B05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（3）结构安全等级：二级；</w:t>
      </w:r>
    </w:p>
    <w:p w14:paraId="218E61C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（4）抗震设防类别：给水干管、泵房等为乙类，其他为丙类。</w:t>
      </w:r>
    </w:p>
    <w:p w14:paraId="6E4B185D">
      <w:pPr>
        <w:pStyle w:val="7"/>
        <w:pageBreakBefore w:val="0"/>
        <w:widowControl w:val="0"/>
        <w:numPr>
          <w:ilvl w:val="3"/>
          <w:numId w:val="6"/>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bookmarkStart w:id="215" w:name="_Toc425255625"/>
      <w:bookmarkStart w:id="216" w:name="_Toc49830933"/>
      <w:bookmarkStart w:id="217" w:name="_Toc49864941"/>
      <w:bookmarkStart w:id="218" w:name="_Toc155088109"/>
      <w:bookmarkStart w:id="219" w:name="_Toc12296"/>
      <w:bookmarkStart w:id="220" w:name="_Toc425255157"/>
      <w:bookmarkStart w:id="221" w:name="_Toc170371291"/>
      <w:bookmarkStart w:id="222" w:name="_Toc434828019"/>
      <w:r>
        <w:rPr>
          <w:rFonts w:hint="eastAsia" w:ascii="仿宋_GB2312" w:hAnsi="仿宋_GB2312" w:eastAsia="仿宋_GB2312" w:cs="仿宋_GB2312"/>
          <w:sz w:val="32"/>
          <w:szCs w:val="32"/>
          <w:highlight w:val="none"/>
        </w:rPr>
        <w:t>主要材料</w:t>
      </w:r>
      <w:bookmarkEnd w:id="215"/>
      <w:bookmarkEnd w:id="216"/>
      <w:bookmarkEnd w:id="217"/>
      <w:bookmarkEnd w:id="218"/>
      <w:bookmarkEnd w:id="219"/>
      <w:bookmarkEnd w:id="220"/>
      <w:bookmarkEnd w:id="221"/>
      <w:bookmarkEnd w:id="222"/>
    </w:p>
    <w:p w14:paraId="51F2A3A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（1）混凝土：</w:t>
      </w:r>
    </w:p>
    <w:p w14:paraId="647CAE28">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垫层：C20；</w:t>
      </w:r>
    </w:p>
    <w:p w14:paraId="1E321DBC">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构筑物：均为C30，抗渗等级：P6；</w:t>
      </w:r>
    </w:p>
    <w:p w14:paraId="03AB69AD">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建筑物：均为C30。</w:t>
      </w:r>
    </w:p>
    <w:p w14:paraId="6201C40C">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（2）钢筋：φ8及以下为HPB300钢筋；</w:t>
      </w:r>
    </w:p>
    <w:p w14:paraId="78CAF50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φ10及以上为HRB400钢筋。</w:t>
      </w:r>
    </w:p>
    <w:p w14:paraId="1D26B9E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（3）铁件钢材：Q235B。</w:t>
      </w:r>
    </w:p>
    <w:p w14:paraId="71B69AC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（4）焊条：E43型用于Q235及HPB300钢筋；</w:t>
      </w:r>
    </w:p>
    <w:p w14:paraId="055C7F3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E50型用于HRB400钢筋。</w:t>
      </w:r>
    </w:p>
    <w:p w14:paraId="4888259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（5）砌体：防潮层以下用DM M10预拌砂浆砌混凝土砌块；</w:t>
      </w:r>
    </w:p>
    <w:p w14:paraId="2A16BA78">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防潮层以上尽量采用轻质砌块及其专用砂浆砌筑。</w:t>
      </w:r>
    </w:p>
    <w:p w14:paraId="44FC524E">
      <w:pPr>
        <w:pStyle w:val="7"/>
        <w:pageBreakBefore w:val="0"/>
        <w:widowControl w:val="0"/>
        <w:numPr>
          <w:ilvl w:val="3"/>
          <w:numId w:val="6"/>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bookmarkStart w:id="223" w:name="_Toc49864942"/>
      <w:bookmarkEnd w:id="223"/>
      <w:bookmarkStart w:id="224" w:name="_Toc434828020"/>
      <w:bookmarkEnd w:id="224"/>
      <w:bookmarkStart w:id="225" w:name="_Toc425255158"/>
      <w:bookmarkEnd w:id="225"/>
      <w:bookmarkStart w:id="226" w:name="_Toc170371292"/>
      <w:bookmarkEnd w:id="226"/>
      <w:bookmarkStart w:id="227" w:name="_Toc425255626"/>
      <w:bookmarkEnd w:id="227"/>
      <w:bookmarkStart w:id="228" w:name="_Toc49830934"/>
      <w:bookmarkEnd w:id="228"/>
      <w:bookmarkStart w:id="229" w:name="_Toc155088110"/>
      <w:bookmarkEnd w:id="229"/>
      <w:bookmarkStart w:id="230" w:name="_Toc21550"/>
      <w:r>
        <w:rPr>
          <w:rFonts w:hint="eastAsia" w:ascii="仿宋_GB2312" w:hAnsi="仿宋_GB2312" w:eastAsia="仿宋_GB2312" w:cs="仿宋_GB2312"/>
          <w:sz w:val="32"/>
          <w:szCs w:val="32"/>
          <w:highlight w:val="none"/>
        </w:rPr>
        <w:t>管道施工</w:t>
      </w:r>
      <w:bookmarkEnd w:id="230"/>
    </w:p>
    <w:p w14:paraId="1EEE4378">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bookmarkStart w:id="231" w:name="_Toc434828024"/>
      <w:bookmarkStart w:id="232" w:name="_Toc155088114"/>
      <w:bookmarkStart w:id="233" w:name="_Toc170371296"/>
      <w:bookmarkStart w:id="234" w:name="_Toc49864946"/>
      <w:bookmarkStart w:id="235" w:name="_Toc425255162"/>
      <w:bookmarkStart w:id="236" w:name="_Toc49830938"/>
      <w:bookmarkStart w:id="237" w:name="_Toc425255630"/>
      <w:r>
        <w:rPr>
          <w:rFonts w:hint="eastAsia" w:ascii="仿宋_GB2312" w:hAnsi="仿宋_GB2312" w:eastAsia="仿宋_GB2312" w:cs="仿宋_GB2312"/>
          <w:sz w:val="32"/>
          <w:szCs w:val="32"/>
          <w:highlight w:val="none"/>
        </w:rPr>
        <w:t>一般市政管道建设，较常用的施工方式有开挖施工（如放坡开挖、支护开挖等）和非开挖施工（如顶管施工、水平定向钻等）。</w:t>
      </w:r>
    </w:p>
    <w:p w14:paraId="359F10DC">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开挖施工主要适用于埋深较浅、周边环境较开阔等情况的管段。放坡开挖是指利用土体自稳性能，两侧以一定坡度（一般1:0.15</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1:1.5）往下挖深，形成沟槽以敷设管道，其优点是施工简单、造价较低；缺点是沿线施工作业面较大。支护开挖是指采用支护桩（如槽钢、钢板桩、灌注桩等）支挡管道两侧水土，于支护桩间挖土形成沟槽以敷设管道，其优点是沿线施工作业面较小，通过加设内撑等形式可以敷设埋设较深的管道；缺点是打拔钢板桩时振动较大，对周边环境影响较大，不适用于周边环境敏感地区和闹市区，而灌注桩支护造价极高，且工期长。</w:t>
      </w:r>
    </w:p>
    <w:p w14:paraId="32569F9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非开挖施工主要适用于埋设深度深或周边环境复杂导致无条件采用开挖施工等情况的管段。当前市政管道特别是给水管道非开挖施工方式主要包括顶管法和水平定向钻法（即拖拉管法）。其中</w:t>
      </w: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HYPERLINK"https://baike.sogou.com/lemma/ShowInnerLink.htm?lemmaId=8413456&amp;ss_c=ssc.citiao.link"\t"_blank"</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顶管法</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sz w:val="32"/>
          <w:szCs w:val="32"/>
          <w:highlight w:val="none"/>
        </w:rPr>
        <w:t>主要用于DN800以上大直径管道。对于小直径给水管道（≤DN800），非开挖施工方式一般采用水平定向钻施工工艺。</w:t>
      </w:r>
    </w:p>
    <w:p w14:paraId="40352B43">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工程给水管道基本在现状市政道路上敷设，主要为小直径管道（≤DN800），一般埋深较小。故本工程给水管道综合考虑现场环境、交通、地质、埋深等条件，主要采用放坡开挖方式施工，放坡坡率根据地质和埋深条件确定；部分埋深较大、无放坡条件的管段拟考虑采用槽钢支护或钢板桩支护开挖施工；对于局部场地受限、倒虹、穿越河渠或障碍物等的管段主要考虑采用水平定向钻等非开挖施工方式或者架管形式。</w:t>
      </w:r>
    </w:p>
    <w:p w14:paraId="52C98726">
      <w:pPr>
        <w:pStyle w:val="7"/>
        <w:pageBreakBefore w:val="0"/>
        <w:widowControl w:val="0"/>
        <w:numPr>
          <w:ilvl w:val="3"/>
          <w:numId w:val="6"/>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bookmarkStart w:id="238" w:name="_Toc19465"/>
      <w:r>
        <w:rPr>
          <w:rFonts w:hint="eastAsia" w:ascii="仿宋_GB2312" w:hAnsi="仿宋_GB2312" w:eastAsia="仿宋_GB2312" w:cs="仿宋_GB2312"/>
          <w:sz w:val="32"/>
          <w:szCs w:val="32"/>
          <w:highlight w:val="none"/>
        </w:rPr>
        <w:t>管道地基处理</w:t>
      </w:r>
      <w:bookmarkEnd w:id="238"/>
    </w:p>
    <w:p w14:paraId="1852A688">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本工程管道基本敷设于现状道路下，无需进行深层地基处理，根据地质情况，主要考虑原状地基、夯填碎石、抛石挤淤、砂石换填等浅层处理，满足管道地基承载力要求。</w:t>
      </w:r>
    </w:p>
    <w:p w14:paraId="35CB6E32">
      <w:pPr>
        <w:pStyle w:val="7"/>
        <w:pageBreakBefore w:val="0"/>
        <w:widowControl w:val="0"/>
        <w:numPr>
          <w:ilvl w:val="3"/>
          <w:numId w:val="6"/>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bookmarkStart w:id="239" w:name="_Toc18500"/>
      <w:r>
        <w:rPr>
          <w:rFonts w:hint="eastAsia" w:ascii="仿宋_GB2312" w:hAnsi="仿宋_GB2312" w:eastAsia="仿宋_GB2312" w:cs="仿宋_GB2312"/>
          <w:sz w:val="32"/>
          <w:szCs w:val="32"/>
          <w:highlight w:val="none"/>
        </w:rPr>
        <w:t>抗震结构设计</w:t>
      </w:r>
      <w:bookmarkEnd w:id="231"/>
      <w:bookmarkEnd w:id="232"/>
      <w:bookmarkEnd w:id="233"/>
      <w:bookmarkEnd w:id="234"/>
      <w:bookmarkEnd w:id="235"/>
      <w:bookmarkEnd w:id="236"/>
      <w:bookmarkEnd w:id="237"/>
      <w:bookmarkEnd w:id="239"/>
    </w:p>
    <w:p w14:paraId="584F563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南昌县抗震设防烈度为6度，地震加速度0.05g；设计地震分组为第一组，建筑结构安全等级为二级。本工程管道及构筑物结构均根据《建筑抗震设计规范（2016年版）》（GB50011-2010）和《室外给水排水和燃气热力工程抗震设计规范》（GB50032-2003）等相关要求进行抗震设计。</w:t>
      </w:r>
    </w:p>
    <w:p w14:paraId="76AC7FCE">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textAlignment w:val="auto"/>
        <w:rPr>
          <w:rFonts w:hint="eastAsia" w:ascii="仿宋_GB2312" w:hAnsi="仿宋_GB2312" w:eastAsia="仿宋_GB2312" w:cs="仿宋_GB2312"/>
          <w:sz w:val="32"/>
          <w:szCs w:val="32"/>
          <w:highlight w:val="none"/>
        </w:rPr>
      </w:pPr>
      <w:bookmarkStart w:id="240" w:name="_Toc6261"/>
      <w:bookmarkStart w:id="241" w:name="_Toc16914"/>
      <w:r>
        <w:rPr>
          <w:rFonts w:hint="eastAsia" w:ascii="仿宋_GB2312" w:hAnsi="仿宋_GB2312" w:eastAsia="仿宋_GB2312" w:cs="仿宋_GB2312"/>
          <w:sz w:val="32"/>
          <w:szCs w:val="32"/>
          <w:highlight w:val="none"/>
        </w:rPr>
        <w:t>路面修复设计</w:t>
      </w:r>
      <w:bookmarkEnd w:id="197"/>
      <w:bookmarkEnd w:id="198"/>
      <w:bookmarkEnd w:id="240"/>
      <w:bookmarkEnd w:id="241"/>
      <w:bookmarkStart w:id="242" w:name="_Toc535757818"/>
    </w:p>
    <w:p w14:paraId="52B008A2">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本工程破路修复范围为供水管线埋设处需要破除现状路面的区域，设计内容为：路基、路面。</w:t>
      </w:r>
    </w:p>
    <w:p w14:paraId="46480000">
      <w:pPr>
        <w:pStyle w:val="7"/>
        <w:pageBreakBefore w:val="0"/>
        <w:widowControl w:val="0"/>
        <w:numPr>
          <w:ilvl w:val="3"/>
          <w:numId w:val="6"/>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设计标准</w:t>
      </w:r>
    </w:p>
    <w:p w14:paraId="5334CE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根据现状道路等级不同而分以下几个标准：</w:t>
      </w:r>
    </w:p>
    <w:p w14:paraId="2BF51188">
      <w:pPr>
        <w:keepNext w:val="0"/>
        <w:keepLines w:val="0"/>
        <w:pageBreakBefore w:val="0"/>
        <w:widowControl w:val="0"/>
        <w:kinsoku/>
        <w:wordWrap/>
        <w:overflowPunct/>
        <w:topLinePunct w:val="0"/>
        <w:autoSpaceDE/>
        <w:autoSpaceDN/>
        <w:bidi w:val="0"/>
        <w:adjustRightInd w:val="0"/>
        <w:snapToGrid w:val="0"/>
        <w:spacing w:line="560" w:lineRule="exact"/>
        <w:ind w:firstLine="480"/>
        <w:jc w:val="center"/>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sz w:val="24"/>
          <w:szCs w:val="24"/>
          <w:highlight w:val="none"/>
        </w:rPr>
        <w:t>表</w:t>
      </w:r>
      <w:r>
        <w:rPr>
          <w:rFonts w:hint="eastAsia" w:ascii="仿宋_GB2312" w:hAnsi="仿宋_GB2312" w:eastAsia="仿宋_GB2312" w:cs="仿宋_GB2312"/>
          <w:sz w:val="24"/>
          <w:szCs w:val="24"/>
          <w:highlight w:val="none"/>
        </w:rPr>
        <w:fldChar w:fldCharType="begin"/>
      </w:r>
      <w:r>
        <w:rPr>
          <w:rFonts w:hint="eastAsia" w:ascii="仿宋_GB2312" w:hAnsi="仿宋_GB2312" w:eastAsia="仿宋_GB2312" w:cs="仿宋_GB2312"/>
          <w:sz w:val="24"/>
          <w:szCs w:val="24"/>
          <w:highlight w:val="none"/>
        </w:rPr>
        <w:instrText xml:space="preserve">STYLEREF 1\s</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z w:val="24"/>
          <w:szCs w:val="24"/>
          <w:highlight w:val="none"/>
        </w:rPr>
        <w:t>7</w:t>
      </w:r>
      <w:r>
        <w:rPr>
          <w:rFonts w:hint="eastAsia" w:ascii="仿宋_GB2312" w:hAnsi="仿宋_GB2312" w:eastAsia="仿宋_GB2312" w:cs="仿宋_GB2312"/>
          <w:sz w:val="24"/>
          <w:szCs w:val="24"/>
          <w:highlight w:val="none"/>
        </w:rPr>
        <w:fldChar w:fldCharType="end"/>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sz w:val="24"/>
          <w:szCs w:val="24"/>
          <w:highlight w:val="none"/>
        </w:rPr>
        <w:fldChar w:fldCharType="begin"/>
      </w:r>
      <w:r>
        <w:rPr>
          <w:rFonts w:hint="eastAsia" w:ascii="仿宋_GB2312" w:hAnsi="仿宋_GB2312" w:eastAsia="仿宋_GB2312" w:cs="仿宋_GB2312"/>
          <w:sz w:val="24"/>
          <w:szCs w:val="24"/>
          <w:highlight w:val="none"/>
        </w:rPr>
        <w:instrText xml:space="preserve">SEQ表\*ARABIC\s 1</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z w:val="24"/>
          <w:szCs w:val="24"/>
          <w:highlight w:val="none"/>
        </w:rPr>
        <w:t>3</w:t>
      </w:r>
      <w:r>
        <w:rPr>
          <w:rFonts w:hint="eastAsia" w:ascii="仿宋_GB2312" w:hAnsi="仿宋_GB2312" w:eastAsia="仿宋_GB2312" w:cs="仿宋_GB2312"/>
          <w:sz w:val="24"/>
          <w:szCs w:val="24"/>
          <w:highlight w:val="none"/>
        </w:rPr>
        <w:fldChar w:fldCharType="end"/>
      </w:r>
      <w:r>
        <w:rPr>
          <w:rFonts w:hint="eastAsia" w:ascii="仿宋_GB2312" w:hAnsi="仿宋_GB2312" w:eastAsia="仿宋_GB2312" w:cs="仿宋_GB2312"/>
          <w:kern w:val="0"/>
          <w:sz w:val="24"/>
          <w:szCs w:val="24"/>
          <w:highlight w:val="none"/>
        </w:rPr>
        <w:t>道路设计标准一览表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034"/>
        <w:gridCol w:w="1074"/>
        <w:gridCol w:w="1074"/>
        <w:gridCol w:w="1074"/>
        <w:gridCol w:w="1074"/>
      </w:tblGrid>
      <w:tr w14:paraId="7533A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0" w:type="auto"/>
            <w:gridSpan w:val="2"/>
            <w:noWrap/>
            <w:vAlign w:val="center"/>
          </w:tcPr>
          <w:p w14:paraId="73AE5789">
            <w:pPr>
              <w:widowControl/>
              <w:spacing w:line="240" w:lineRule="auto"/>
              <w:ind w:firstLine="0" w:firstLineChars="0"/>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分类</w:t>
            </w:r>
          </w:p>
        </w:tc>
        <w:tc>
          <w:tcPr>
            <w:tcW w:w="0" w:type="auto"/>
            <w:gridSpan w:val="3"/>
            <w:vAlign w:val="center"/>
          </w:tcPr>
          <w:p w14:paraId="5A7C7F7C">
            <w:pPr>
              <w:widowControl/>
              <w:spacing w:line="240" w:lineRule="auto"/>
              <w:ind w:firstLine="0" w:firstLineChars="0"/>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乡村道路</w:t>
            </w:r>
          </w:p>
        </w:tc>
      </w:tr>
      <w:tr w14:paraId="12968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0" w:type="auto"/>
            <w:gridSpan w:val="2"/>
            <w:noWrap/>
            <w:vAlign w:val="center"/>
          </w:tcPr>
          <w:p w14:paraId="59DD3BB1">
            <w:pPr>
              <w:widowControl/>
              <w:spacing w:line="240" w:lineRule="auto"/>
              <w:ind w:firstLine="0" w:firstLineChars="0"/>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道路等级</w:t>
            </w:r>
          </w:p>
        </w:tc>
        <w:tc>
          <w:tcPr>
            <w:tcW w:w="0" w:type="auto"/>
            <w:noWrap/>
            <w:vAlign w:val="center"/>
          </w:tcPr>
          <w:p w14:paraId="63C37A7A">
            <w:pPr>
              <w:widowControl/>
              <w:spacing w:line="240" w:lineRule="auto"/>
              <w:ind w:firstLine="0" w:firstLineChars="0"/>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主要道路</w:t>
            </w:r>
          </w:p>
        </w:tc>
        <w:tc>
          <w:tcPr>
            <w:tcW w:w="0" w:type="auto"/>
            <w:noWrap/>
            <w:vAlign w:val="center"/>
          </w:tcPr>
          <w:p w14:paraId="5D3E94AD">
            <w:pPr>
              <w:widowControl/>
              <w:spacing w:line="240" w:lineRule="auto"/>
              <w:ind w:firstLine="0" w:firstLineChars="0"/>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次要道路</w:t>
            </w:r>
          </w:p>
        </w:tc>
        <w:tc>
          <w:tcPr>
            <w:tcW w:w="0" w:type="auto"/>
            <w:noWrap/>
            <w:vAlign w:val="center"/>
          </w:tcPr>
          <w:p w14:paraId="44DAA270">
            <w:pPr>
              <w:widowControl/>
              <w:spacing w:line="240" w:lineRule="auto"/>
              <w:ind w:firstLine="0" w:firstLineChars="0"/>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宅间道路</w:t>
            </w:r>
          </w:p>
        </w:tc>
      </w:tr>
      <w:tr w14:paraId="0F6DE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0" w:type="auto"/>
            <w:gridSpan w:val="2"/>
            <w:noWrap/>
            <w:vAlign w:val="center"/>
          </w:tcPr>
          <w:p w14:paraId="34508067">
            <w:pPr>
              <w:widowControl/>
              <w:spacing w:line="240" w:lineRule="auto"/>
              <w:ind w:firstLine="0" w:firstLineChars="0"/>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交通等级</w:t>
            </w:r>
          </w:p>
        </w:tc>
        <w:tc>
          <w:tcPr>
            <w:tcW w:w="0" w:type="auto"/>
            <w:noWrap/>
            <w:vAlign w:val="center"/>
          </w:tcPr>
          <w:p w14:paraId="52B90B06">
            <w:pPr>
              <w:widowControl/>
              <w:spacing w:line="240" w:lineRule="auto"/>
              <w:ind w:firstLine="0" w:firstLineChars="0"/>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轻等</w:t>
            </w:r>
          </w:p>
        </w:tc>
        <w:tc>
          <w:tcPr>
            <w:tcW w:w="0" w:type="auto"/>
            <w:noWrap/>
            <w:vAlign w:val="center"/>
          </w:tcPr>
          <w:p w14:paraId="1FE8BF52">
            <w:pPr>
              <w:widowControl/>
              <w:spacing w:line="240" w:lineRule="auto"/>
              <w:ind w:firstLine="0" w:firstLineChars="0"/>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轻等</w:t>
            </w:r>
          </w:p>
        </w:tc>
        <w:tc>
          <w:tcPr>
            <w:tcW w:w="0" w:type="auto"/>
            <w:noWrap/>
            <w:vAlign w:val="center"/>
          </w:tcPr>
          <w:p w14:paraId="3F0073F9">
            <w:pPr>
              <w:widowControl/>
              <w:spacing w:line="240" w:lineRule="auto"/>
              <w:ind w:firstLine="0" w:firstLineChars="0"/>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w:t>
            </w:r>
          </w:p>
        </w:tc>
      </w:tr>
      <w:tr w14:paraId="17704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0" w:type="auto"/>
            <w:vMerge w:val="restart"/>
            <w:vAlign w:val="center"/>
          </w:tcPr>
          <w:p w14:paraId="05451F83">
            <w:pPr>
              <w:widowControl/>
              <w:spacing w:line="240" w:lineRule="auto"/>
              <w:ind w:firstLine="0" w:firstLineChars="0"/>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路面结构设计年限</w:t>
            </w:r>
          </w:p>
        </w:tc>
        <w:tc>
          <w:tcPr>
            <w:tcW w:w="0" w:type="auto"/>
            <w:noWrap/>
            <w:vAlign w:val="center"/>
          </w:tcPr>
          <w:p w14:paraId="47D6A241">
            <w:pPr>
              <w:widowControl/>
              <w:spacing w:line="240" w:lineRule="auto"/>
              <w:ind w:firstLine="0" w:firstLineChars="0"/>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水泥路面</w:t>
            </w:r>
          </w:p>
        </w:tc>
        <w:tc>
          <w:tcPr>
            <w:tcW w:w="0" w:type="auto"/>
            <w:noWrap/>
            <w:vAlign w:val="center"/>
          </w:tcPr>
          <w:p w14:paraId="7B30C6E9">
            <w:pPr>
              <w:widowControl/>
              <w:spacing w:line="240" w:lineRule="auto"/>
              <w:ind w:firstLine="0" w:firstLineChars="0"/>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20年</w:t>
            </w:r>
          </w:p>
        </w:tc>
        <w:tc>
          <w:tcPr>
            <w:tcW w:w="0" w:type="auto"/>
            <w:noWrap/>
            <w:vAlign w:val="center"/>
          </w:tcPr>
          <w:p w14:paraId="194BC358">
            <w:pPr>
              <w:widowControl/>
              <w:spacing w:line="240" w:lineRule="auto"/>
              <w:ind w:firstLine="0" w:firstLineChars="0"/>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20年</w:t>
            </w:r>
          </w:p>
        </w:tc>
        <w:tc>
          <w:tcPr>
            <w:tcW w:w="0" w:type="auto"/>
            <w:noWrap/>
            <w:vAlign w:val="center"/>
          </w:tcPr>
          <w:p w14:paraId="0A91D3A0">
            <w:pPr>
              <w:widowControl/>
              <w:spacing w:line="240" w:lineRule="auto"/>
              <w:ind w:firstLine="0" w:firstLineChars="0"/>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10年</w:t>
            </w:r>
          </w:p>
        </w:tc>
      </w:tr>
      <w:tr w14:paraId="264B1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0" w:type="auto"/>
            <w:vMerge w:val="continue"/>
            <w:vAlign w:val="center"/>
          </w:tcPr>
          <w:p w14:paraId="4A5F15A5">
            <w:pPr>
              <w:widowControl/>
              <w:spacing w:line="240" w:lineRule="auto"/>
              <w:ind w:firstLine="0" w:firstLineChars="0"/>
              <w:jc w:val="left"/>
              <w:rPr>
                <w:rFonts w:hint="eastAsia" w:ascii="仿宋_GB2312" w:hAnsi="仿宋_GB2312" w:eastAsia="仿宋_GB2312" w:cs="仿宋_GB2312"/>
                <w:kern w:val="0"/>
                <w:sz w:val="24"/>
                <w:szCs w:val="24"/>
                <w:highlight w:val="none"/>
              </w:rPr>
            </w:pPr>
          </w:p>
        </w:tc>
        <w:tc>
          <w:tcPr>
            <w:tcW w:w="0" w:type="auto"/>
            <w:noWrap/>
            <w:vAlign w:val="center"/>
          </w:tcPr>
          <w:p w14:paraId="3CCE33F5">
            <w:pPr>
              <w:widowControl/>
              <w:spacing w:line="240" w:lineRule="auto"/>
              <w:ind w:firstLine="0" w:firstLineChars="0"/>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沥青路面</w:t>
            </w:r>
          </w:p>
        </w:tc>
        <w:tc>
          <w:tcPr>
            <w:tcW w:w="0" w:type="auto"/>
            <w:noWrap/>
            <w:vAlign w:val="center"/>
          </w:tcPr>
          <w:p w14:paraId="28DC6E14">
            <w:pPr>
              <w:widowControl/>
              <w:spacing w:line="240" w:lineRule="auto"/>
              <w:ind w:firstLine="0" w:firstLineChars="0"/>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w:t>
            </w:r>
          </w:p>
        </w:tc>
        <w:tc>
          <w:tcPr>
            <w:tcW w:w="0" w:type="auto"/>
            <w:noWrap/>
            <w:vAlign w:val="center"/>
          </w:tcPr>
          <w:p w14:paraId="2B77CBA9">
            <w:pPr>
              <w:widowControl/>
              <w:spacing w:line="240" w:lineRule="auto"/>
              <w:ind w:firstLine="0" w:firstLineChars="0"/>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w:t>
            </w:r>
          </w:p>
        </w:tc>
        <w:tc>
          <w:tcPr>
            <w:tcW w:w="0" w:type="auto"/>
            <w:noWrap/>
            <w:vAlign w:val="center"/>
          </w:tcPr>
          <w:p w14:paraId="2DCCD66E">
            <w:pPr>
              <w:widowControl/>
              <w:spacing w:line="240" w:lineRule="auto"/>
              <w:ind w:firstLine="0" w:firstLineChars="0"/>
              <w:jc w:val="center"/>
              <w:rPr>
                <w:rFonts w:hint="eastAsia" w:ascii="仿宋_GB2312" w:hAnsi="仿宋_GB2312" w:eastAsia="仿宋_GB2312" w:cs="仿宋_GB2312"/>
                <w:kern w:val="0"/>
                <w:sz w:val="24"/>
                <w:szCs w:val="24"/>
                <w:highlight w:val="none"/>
              </w:rPr>
            </w:pPr>
            <w:bookmarkStart w:id="243" w:name="OLE_LINK4"/>
            <w:r>
              <w:rPr>
                <w:rFonts w:hint="eastAsia" w:ascii="仿宋_GB2312" w:hAnsi="仿宋_GB2312" w:eastAsia="仿宋_GB2312" w:cs="仿宋_GB2312"/>
                <w:kern w:val="0"/>
                <w:sz w:val="24"/>
                <w:szCs w:val="24"/>
                <w:highlight w:val="none"/>
              </w:rPr>
              <w:t>-</w:t>
            </w:r>
            <w:bookmarkEnd w:id="243"/>
          </w:p>
        </w:tc>
      </w:tr>
      <w:tr w14:paraId="05BD1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0" w:type="auto"/>
            <w:gridSpan w:val="2"/>
            <w:vAlign w:val="center"/>
          </w:tcPr>
          <w:p w14:paraId="1DB5C54A">
            <w:pPr>
              <w:widowControl/>
              <w:spacing w:line="240" w:lineRule="auto"/>
              <w:ind w:firstLine="0" w:firstLineChars="0"/>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荷载标准</w:t>
            </w:r>
          </w:p>
        </w:tc>
        <w:tc>
          <w:tcPr>
            <w:tcW w:w="0" w:type="auto"/>
            <w:gridSpan w:val="2"/>
            <w:noWrap/>
            <w:vAlign w:val="center"/>
          </w:tcPr>
          <w:p w14:paraId="7F562263">
            <w:pPr>
              <w:widowControl/>
              <w:spacing w:line="240" w:lineRule="auto"/>
              <w:ind w:firstLine="0" w:firstLineChars="0"/>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标准轴载BZZ-100</w:t>
            </w:r>
          </w:p>
        </w:tc>
        <w:tc>
          <w:tcPr>
            <w:tcW w:w="0" w:type="auto"/>
            <w:noWrap/>
            <w:vAlign w:val="center"/>
          </w:tcPr>
          <w:p w14:paraId="2672308B">
            <w:pPr>
              <w:widowControl/>
              <w:spacing w:line="240" w:lineRule="auto"/>
              <w:ind w:firstLine="0" w:firstLineChars="0"/>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w:t>
            </w:r>
          </w:p>
        </w:tc>
      </w:tr>
    </w:tbl>
    <w:p w14:paraId="3FD481B4">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乡村道路标准的判断：</w:t>
      </w:r>
    </w:p>
    <w:p w14:paraId="6E20FC69">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主要道路：主要指村与村之间的连接道路及村内主干道，一般为7m及以上道路；</w:t>
      </w:r>
    </w:p>
    <w:p w14:paraId="0280393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次要道路：道路宽度3m～7m（含3m），村内一般交通道路。</w:t>
      </w:r>
    </w:p>
    <w:p w14:paraId="0C1FAA3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宅间道路：道路宽度小于3.0m或道路宽度大于等于3.0m，但不通行机动车的入户路。</w:t>
      </w:r>
    </w:p>
    <w:p w14:paraId="35D161B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特殊情况：现状路宽较宽但现状调查不通行机动车，例如广场，公路门前硬化等。按宅间道路处理。</w:t>
      </w:r>
    </w:p>
    <w:p w14:paraId="3C9E6544">
      <w:pPr>
        <w:pStyle w:val="7"/>
        <w:pageBreakBefore w:val="0"/>
        <w:widowControl w:val="0"/>
        <w:numPr>
          <w:ilvl w:val="3"/>
          <w:numId w:val="6"/>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设计依据</w:t>
      </w:r>
    </w:p>
    <w:p w14:paraId="43E5D98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《乡村道路工程技术规范》（GB/T 51224-2017）</w:t>
      </w:r>
    </w:p>
    <w:p w14:paraId="63D79192">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《村庄整治技术标准》（GB/T 50445-2019）</w:t>
      </w:r>
    </w:p>
    <w:p w14:paraId="5FF8735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现状道路调查资料等。</w:t>
      </w:r>
    </w:p>
    <w:p w14:paraId="596DC09F">
      <w:pPr>
        <w:pStyle w:val="7"/>
        <w:pageBreakBefore w:val="0"/>
        <w:widowControl w:val="0"/>
        <w:numPr>
          <w:ilvl w:val="3"/>
          <w:numId w:val="6"/>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道路横断面</w:t>
      </w:r>
    </w:p>
    <w:p w14:paraId="628382C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本项目路面修复工程只针对现状，不新增、新建道路；因此修复横断面路幅组成、横坡、边沟设置等均服从现状。</w:t>
      </w:r>
    </w:p>
    <w:p w14:paraId="6A3DFA0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（1）修复宽度</w:t>
      </w:r>
    </w:p>
    <w:p w14:paraId="4CA847F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①除乡村道路（次要道路、宅间道路）以外其他等级水泥路面：</w:t>
      </w:r>
    </w:p>
    <w:p w14:paraId="6EDEDA4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A.面层修复：</w:t>
      </w:r>
    </w:p>
    <w:p w14:paraId="7668AB0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按整板宽度计算，具体应结合现状板块宽度W及沟槽开挖宽度L判断，若L+W1（W2）≦W，则按1块板宽W修复，若L+W1（W2）≧W，则按2块板宽度2W修复。对于特殊情况L+W1（W2）超出1块板W的宽度，超出值小于等于1.0m时，此时建议优先复核及调整管位，若管位无法调整，则建议破除修复宽度按1块板+超出值计算（超出部分施工时采用机切并植拉杆或传力杆）。</w:t>
      </w:r>
    </w:p>
    <w:p w14:paraId="28775390">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B.基层修复：</w:t>
      </w:r>
    </w:p>
    <w:p w14:paraId="04CD918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按沟槽开挖宽度L结合加宽值确定。沟槽开挖宽度L由结构沟槽开挖断面图确定，加宽值（W1、W2）根据相关标准规范并结合基层层数确定（详见各等级道路路面结构断面图）。</w:t>
      </w:r>
    </w:p>
    <w:p w14:paraId="5D55D10C">
      <w:pPr>
        <w:adjustRightInd w:val="0"/>
        <w:snapToGrid w:val="0"/>
        <w:ind w:firstLine="480"/>
        <w:jc w:val="center"/>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drawing>
          <wp:inline distT="0" distB="0" distL="0" distR="0">
            <wp:extent cx="3903980" cy="2320925"/>
            <wp:effectExtent l="0" t="0" r="0" b="0"/>
            <wp:docPr id="14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26"/>
                    <pic:cNvPicPr>
                      <a:picLocks noChangeAspect="1" noChangeArrowheads="1"/>
                    </pic:cNvPicPr>
                  </pic:nvPicPr>
                  <pic:blipFill>
                    <a:blip r:embed="rId11">
                      <a:extLst>
                        <a:ext uri="{28A0092B-C50C-407E-A947-70E740481C1C}">
                          <a14:useLocalDpi xmlns:a14="http://schemas.microsoft.com/office/drawing/2010/main" val="0"/>
                        </a:ext>
                      </a:extLst>
                    </a:blip>
                    <a:srcRect t="3030"/>
                    <a:stretch>
                      <a:fillRect/>
                    </a:stretch>
                  </pic:blipFill>
                  <pic:spPr>
                    <a:xfrm>
                      <a:off x="0" y="0"/>
                      <a:ext cx="3903980" cy="2320925"/>
                    </a:xfrm>
                    <a:prstGeom prst="rect">
                      <a:avLst/>
                    </a:prstGeom>
                    <a:noFill/>
                    <a:ln>
                      <a:noFill/>
                    </a:ln>
                  </pic:spPr>
                </pic:pic>
              </a:graphicData>
            </a:graphic>
          </wp:inline>
        </w:drawing>
      </w:r>
    </w:p>
    <w:p w14:paraId="404198BE">
      <w:pPr>
        <w:adjustRightInd w:val="0"/>
        <w:snapToGrid w:val="0"/>
        <w:ind w:firstLine="480"/>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sz w:val="24"/>
          <w:szCs w:val="24"/>
          <w:highlight w:val="none"/>
        </w:rPr>
        <w:t>图</w:t>
      </w:r>
      <w:r>
        <w:rPr>
          <w:rFonts w:hint="eastAsia" w:ascii="仿宋_GB2312" w:hAnsi="仿宋_GB2312" w:eastAsia="仿宋_GB2312" w:cs="仿宋_GB2312"/>
          <w:sz w:val="24"/>
          <w:szCs w:val="24"/>
          <w:highlight w:val="none"/>
        </w:rPr>
        <w:fldChar w:fldCharType="begin"/>
      </w:r>
      <w:r>
        <w:rPr>
          <w:rFonts w:hint="eastAsia" w:ascii="仿宋_GB2312" w:hAnsi="仿宋_GB2312" w:eastAsia="仿宋_GB2312" w:cs="仿宋_GB2312"/>
          <w:sz w:val="24"/>
          <w:szCs w:val="24"/>
          <w:highlight w:val="none"/>
        </w:rPr>
        <w:instrText xml:space="preserve">STYLEREF 1\s</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z w:val="24"/>
          <w:szCs w:val="24"/>
          <w:highlight w:val="none"/>
        </w:rPr>
        <w:t>7</w:t>
      </w:r>
      <w:r>
        <w:rPr>
          <w:rFonts w:hint="eastAsia" w:ascii="仿宋_GB2312" w:hAnsi="仿宋_GB2312" w:eastAsia="仿宋_GB2312" w:cs="仿宋_GB2312"/>
          <w:sz w:val="24"/>
          <w:szCs w:val="24"/>
          <w:highlight w:val="none"/>
        </w:rPr>
        <w:fldChar w:fldCharType="end"/>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sz w:val="24"/>
          <w:szCs w:val="24"/>
          <w:highlight w:val="none"/>
        </w:rPr>
        <w:fldChar w:fldCharType="begin"/>
      </w:r>
      <w:r>
        <w:rPr>
          <w:rFonts w:hint="eastAsia" w:ascii="仿宋_GB2312" w:hAnsi="仿宋_GB2312" w:eastAsia="仿宋_GB2312" w:cs="仿宋_GB2312"/>
          <w:sz w:val="24"/>
          <w:szCs w:val="24"/>
          <w:highlight w:val="none"/>
        </w:rPr>
        <w:instrText xml:space="preserve">SEQ图\*ARABIC\s 1</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z w:val="24"/>
          <w:szCs w:val="24"/>
          <w:highlight w:val="none"/>
        </w:rPr>
        <w:t>2</w:t>
      </w:r>
      <w:r>
        <w:rPr>
          <w:rFonts w:hint="eastAsia" w:ascii="仿宋_GB2312" w:hAnsi="仿宋_GB2312" w:eastAsia="仿宋_GB2312" w:cs="仿宋_GB2312"/>
          <w:sz w:val="24"/>
          <w:szCs w:val="24"/>
          <w:highlight w:val="none"/>
        </w:rPr>
        <w:fldChar w:fldCharType="end"/>
      </w:r>
      <w:r>
        <w:rPr>
          <w:rFonts w:hint="eastAsia" w:ascii="仿宋_GB2312" w:hAnsi="仿宋_GB2312" w:eastAsia="仿宋_GB2312" w:cs="仿宋_GB2312"/>
          <w:kern w:val="0"/>
          <w:sz w:val="24"/>
          <w:szCs w:val="24"/>
          <w:highlight w:val="none"/>
        </w:rPr>
        <w:t>水泥路面修复断面示意图</w:t>
      </w:r>
    </w:p>
    <w:p w14:paraId="2F8D93A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②乡村道路（次要道路、宅间道路）：</w:t>
      </w:r>
    </w:p>
    <w:p w14:paraId="656562D3">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面层同基层，修复宽度结合沟槽开挖断面确定；</w:t>
      </w:r>
    </w:p>
    <w:p w14:paraId="7D8D2299">
      <w:pPr>
        <w:pStyle w:val="7"/>
        <w:pageBreakBefore w:val="0"/>
        <w:widowControl w:val="0"/>
        <w:numPr>
          <w:ilvl w:val="3"/>
          <w:numId w:val="6"/>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道路平面</w:t>
      </w:r>
    </w:p>
    <w:p w14:paraId="2A7541A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破路修复平面图结合管道基坑图确定，线</w:t>
      </w:r>
      <w:r>
        <w:rPr>
          <w:rFonts w:hint="eastAsia" w:ascii="仿宋_GB2312" w:hAnsi="仿宋_GB2312" w:eastAsia="仿宋_GB2312" w:cs="仿宋_GB2312"/>
          <w:sz w:val="32"/>
          <w:szCs w:val="32"/>
          <w:highlight w:val="none"/>
          <w:lang w:val="en-US" w:eastAsia="zh-CN"/>
        </w:rPr>
        <w:t>形</w:t>
      </w:r>
      <w:r>
        <w:rPr>
          <w:rFonts w:hint="eastAsia" w:ascii="仿宋_GB2312" w:hAnsi="仿宋_GB2312" w:eastAsia="仿宋_GB2312" w:cs="仿宋_GB2312"/>
          <w:sz w:val="32"/>
          <w:szCs w:val="32"/>
          <w:highlight w:val="none"/>
        </w:rPr>
        <w:t>服从现状线形。</w:t>
      </w:r>
    </w:p>
    <w:p w14:paraId="6F64065E">
      <w:pPr>
        <w:pStyle w:val="7"/>
        <w:pageBreakBefore w:val="0"/>
        <w:widowControl w:val="0"/>
        <w:numPr>
          <w:ilvl w:val="3"/>
          <w:numId w:val="6"/>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bookmarkStart w:id="244" w:name="_Toc526414659"/>
      <w:r>
        <w:rPr>
          <w:rFonts w:hint="eastAsia" w:ascii="仿宋_GB2312" w:hAnsi="仿宋_GB2312" w:eastAsia="仿宋_GB2312" w:cs="仿宋_GB2312"/>
          <w:sz w:val="32"/>
          <w:szCs w:val="32"/>
          <w:highlight w:val="none"/>
        </w:rPr>
        <w:t>道路竖向</w:t>
      </w:r>
      <w:bookmarkEnd w:id="244"/>
    </w:p>
    <w:p w14:paraId="6B55438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bookmarkStart w:id="245" w:name="_Toc526414660"/>
      <w:r>
        <w:rPr>
          <w:rFonts w:hint="eastAsia" w:ascii="仿宋_GB2312" w:hAnsi="仿宋_GB2312" w:eastAsia="仿宋_GB2312" w:cs="仿宋_GB2312"/>
          <w:sz w:val="32"/>
          <w:szCs w:val="32"/>
          <w:highlight w:val="none"/>
        </w:rPr>
        <w:t>不改变现状竖向，纵断面服从现状。</w:t>
      </w:r>
    </w:p>
    <w:p w14:paraId="410C63CA">
      <w:pPr>
        <w:pStyle w:val="7"/>
        <w:pageBreakBefore w:val="0"/>
        <w:widowControl w:val="0"/>
        <w:numPr>
          <w:ilvl w:val="3"/>
          <w:numId w:val="6"/>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路基工程</w:t>
      </w:r>
      <w:bookmarkEnd w:id="245"/>
    </w:p>
    <w:p w14:paraId="135D1CD2">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管网破路修复：路基为现状道路开挖后的管道基础，按管道基坑、填方路基进行回填控制。路基压实度（重型击实标准）：</w:t>
      </w:r>
    </w:p>
    <w:p w14:paraId="76274EFF">
      <w:pPr>
        <w:adjustRightInd w:val="0"/>
        <w:snapToGrid w:val="0"/>
        <w:ind w:firstLine="480"/>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sz w:val="24"/>
          <w:szCs w:val="24"/>
          <w:highlight w:val="none"/>
        </w:rPr>
        <w:t>表</w:t>
      </w:r>
      <w:r>
        <w:rPr>
          <w:rFonts w:hint="eastAsia" w:ascii="仿宋_GB2312" w:hAnsi="仿宋_GB2312" w:eastAsia="仿宋_GB2312" w:cs="仿宋_GB2312"/>
          <w:sz w:val="24"/>
          <w:szCs w:val="24"/>
          <w:highlight w:val="none"/>
        </w:rPr>
        <w:fldChar w:fldCharType="begin"/>
      </w:r>
      <w:r>
        <w:rPr>
          <w:rFonts w:hint="eastAsia" w:ascii="仿宋_GB2312" w:hAnsi="仿宋_GB2312" w:eastAsia="仿宋_GB2312" w:cs="仿宋_GB2312"/>
          <w:sz w:val="24"/>
          <w:szCs w:val="24"/>
          <w:highlight w:val="none"/>
        </w:rPr>
        <w:instrText xml:space="preserve">STYLEREF 1\s</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z w:val="24"/>
          <w:szCs w:val="24"/>
          <w:highlight w:val="none"/>
        </w:rPr>
        <w:t>7</w:t>
      </w:r>
      <w:r>
        <w:rPr>
          <w:rFonts w:hint="eastAsia" w:ascii="仿宋_GB2312" w:hAnsi="仿宋_GB2312" w:eastAsia="仿宋_GB2312" w:cs="仿宋_GB2312"/>
          <w:sz w:val="24"/>
          <w:szCs w:val="24"/>
          <w:highlight w:val="none"/>
        </w:rPr>
        <w:fldChar w:fldCharType="end"/>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sz w:val="24"/>
          <w:szCs w:val="24"/>
          <w:highlight w:val="none"/>
        </w:rPr>
        <w:fldChar w:fldCharType="begin"/>
      </w:r>
      <w:r>
        <w:rPr>
          <w:rFonts w:hint="eastAsia" w:ascii="仿宋_GB2312" w:hAnsi="仿宋_GB2312" w:eastAsia="仿宋_GB2312" w:cs="仿宋_GB2312"/>
          <w:sz w:val="24"/>
          <w:szCs w:val="24"/>
          <w:highlight w:val="none"/>
        </w:rPr>
        <w:instrText xml:space="preserve">SEQ表\*ARABIC\s 1</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z w:val="24"/>
          <w:szCs w:val="24"/>
          <w:highlight w:val="none"/>
        </w:rPr>
        <w:t>4</w:t>
      </w:r>
      <w:r>
        <w:rPr>
          <w:rFonts w:hint="eastAsia" w:ascii="仿宋_GB2312" w:hAnsi="仿宋_GB2312" w:eastAsia="仿宋_GB2312" w:cs="仿宋_GB2312"/>
          <w:sz w:val="24"/>
          <w:szCs w:val="24"/>
          <w:highlight w:val="none"/>
        </w:rPr>
        <w:fldChar w:fldCharType="end"/>
      </w:r>
      <w:r>
        <w:rPr>
          <w:rFonts w:hint="eastAsia" w:ascii="仿宋_GB2312" w:hAnsi="仿宋_GB2312" w:eastAsia="仿宋_GB2312" w:cs="仿宋_GB2312"/>
          <w:kern w:val="0"/>
          <w:sz w:val="24"/>
          <w:szCs w:val="24"/>
          <w:highlight w:val="none"/>
        </w:rPr>
        <w:t>路基压实度标准一览表</w:t>
      </w:r>
    </w:p>
    <w:tbl>
      <w:tblPr>
        <w:tblStyle w:val="27"/>
        <w:tblW w:w="5000"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703"/>
        <w:gridCol w:w="936"/>
        <w:gridCol w:w="911"/>
        <w:gridCol w:w="911"/>
        <w:gridCol w:w="1046"/>
        <w:gridCol w:w="1143"/>
        <w:gridCol w:w="938"/>
        <w:gridCol w:w="655"/>
        <w:gridCol w:w="1279"/>
      </w:tblGrid>
      <w:tr w14:paraId="7C03E1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29" w:type="pct"/>
            <w:vMerge w:val="restart"/>
            <w:tcBorders>
              <w:top w:val="single" w:color="auto" w:sz="4" w:space="0"/>
              <w:left w:val="single" w:color="auto" w:sz="4" w:space="0"/>
              <w:bottom w:val="single" w:color="auto" w:sz="6" w:space="0"/>
              <w:right w:val="single" w:color="auto" w:sz="6" w:space="0"/>
            </w:tcBorders>
            <w:vAlign w:val="center"/>
          </w:tcPr>
          <w:p w14:paraId="5D0E7B01">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路基类型</w:t>
            </w:r>
          </w:p>
        </w:tc>
        <w:tc>
          <w:tcPr>
            <w:tcW w:w="420" w:type="pct"/>
            <w:vMerge w:val="restart"/>
            <w:tcBorders>
              <w:top w:val="single" w:color="auto" w:sz="4" w:space="0"/>
              <w:left w:val="single" w:color="auto" w:sz="6" w:space="0"/>
              <w:bottom w:val="single" w:color="auto" w:sz="6" w:space="0"/>
              <w:right w:val="single" w:color="auto" w:sz="6" w:space="0"/>
            </w:tcBorders>
            <w:vAlign w:val="center"/>
          </w:tcPr>
          <w:p w14:paraId="0F91C4A3">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深度范围（cm）</w:t>
            </w:r>
          </w:p>
        </w:tc>
        <w:tc>
          <w:tcPr>
            <w:tcW w:w="3385" w:type="pct"/>
            <w:gridSpan w:val="6"/>
            <w:tcBorders>
              <w:top w:val="single" w:color="auto" w:sz="4" w:space="0"/>
              <w:left w:val="single" w:color="auto" w:sz="6" w:space="0"/>
              <w:bottom w:val="single" w:color="auto" w:sz="6" w:space="0"/>
              <w:right w:val="single" w:color="auto" w:sz="6" w:space="0"/>
            </w:tcBorders>
          </w:tcPr>
          <w:p w14:paraId="66314A93">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压实度（%）</w:t>
            </w:r>
          </w:p>
        </w:tc>
        <w:tc>
          <w:tcPr>
            <w:tcW w:w="767" w:type="pct"/>
            <w:tcBorders>
              <w:top w:val="single" w:color="auto" w:sz="4" w:space="0"/>
              <w:left w:val="single" w:color="auto" w:sz="6" w:space="0"/>
              <w:bottom w:val="single" w:color="auto" w:sz="6" w:space="0"/>
              <w:right w:val="single" w:color="auto" w:sz="4" w:space="0"/>
            </w:tcBorders>
            <w:vAlign w:val="center"/>
          </w:tcPr>
          <w:p w14:paraId="0C06CD6F">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备注</w:t>
            </w:r>
          </w:p>
        </w:tc>
      </w:tr>
      <w:tr w14:paraId="211765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397" w:hRule="atLeast"/>
          <w:jc w:val="center"/>
        </w:trPr>
        <w:tc>
          <w:tcPr>
            <w:tcW w:w="429" w:type="pct"/>
            <w:vMerge w:val="continue"/>
            <w:tcBorders>
              <w:top w:val="single" w:color="auto" w:sz="4" w:space="0"/>
              <w:left w:val="single" w:color="auto" w:sz="4" w:space="0"/>
              <w:bottom w:val="single" w:color="auto" w:sz="6" w:space="0"/>
              <w:right w:val="single" w:color="auto" w:sz="6" w:space="0"/>
            </w:tcBorders>
            <w:vAlign w:val="center"/>
          </w:tcPr>
          <w:p w14:paraId="3BF2DFAF">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p>
        </w:tc>
        <w:tc>
          <w:tcPr>
            <w:tcW w:w="420" w:type="pct"/>
            <w:vMerge w:val="continue"/>
            <w:tcBorders>
              <w:top w:val="single" w:color="auto" w:sz="4" w:space="0"/>
              <w:left w:val="single" w:color="auto" w:sz="6" w:space="0"/>
              <w:bottom w:val="single" w:color="auto" w:sz="6" w:space="0"/>
              <w:right w:val="single" w:color="auto" w:sz="6" w:space="0"/>
            </w:tcBorders>
            <w:vAlign w:val="center"/>
          </w:tcPr>
          <w:p w14:paraId="6F7C1776">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p>
        </w:tc>
        <w:tc>
          <w:tcPr>
            <w:tcW w:w="551" w:type="pct"/>
            <w:tcBorders>
              <w:top w:val="single" w:color="auto" w:sz="6" w:space="0"/>
              <w:left w:val="single" w:color="auto" w:sz="6" w:space="0"/>
              <w:bottom w:val="single" w:color="auto" w:sz="4" w:space="0"/>
              <w:right w:val="single" w:color="auto" w:sz="4" w:space="0"/>
            </w:tcBorders>
            <w:vAlign w:val="center"/>
          </w:tcPr>
          <w:p w14:paraId="069CF05F">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一级公路</w:t>
            </w:r>
          </w:p>
        </w:tc>
        <w:tc>
          <w:tcPr>
            <w:tcW w:w="551" w:type="pct"/>
            <w:tcBorders>
              <w:top w:val="single" w:color="auto" w:sz="6" w:space="0"/>
              <w:left w:val="single" w:color="auto" w:sz="4" w:space="0"/>
              <w:bottom w:val="single" w:color="auto" w:sz="4" w:space="0"/>
              <w:right w:val="single" w:color="auto" w:sz="6" w:space="0"/>
            </w:tcBorders>
            <w:vAlign w:val="center"/>
          </w:tcPr>
          <w:p w14:paraId="4DBE3292">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二级公路</w:t>
            </w:r>
          </w:p>
        </w:tc>
        <w:tc>
          <w:tcPr>
            <w:tcW w:w="630" w:type="pct"/>
            <w:tcBorders>
              <w:top w:val="single" w:color="auto" w:sz="6" w:space="0"/>
              <w:left w:val="single" w:color="auto" w:sz="4" w:space="0"/>
              <w:bottom w:val="single" w:color="auto" w:sz="4" w:space="0"/>
              <w:right w:val="single" w:color="auto" w:sz="6" w:space="0"/>
            </w:tcBorders>
            <w:vAlign w:val="center"/>
          </w:tcPr>
          <w:p w14:paraId="14A6DE83">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城市主干路</w:t>
            </w:r>
          </w:p>
        </w:tc>
        <w:tc>
          <w:tcPr>
            <w:tcW w:w="687" w:type="pct"/>
            <w:tcBorders>
              <w:top w:val="single" w:color="auto" w:sz="6" w:space="0"/>
              <w:left w:val="single" w:color="auto" w:sz="6" w:space="0"/>
              <w:bottom w:val="single" w:color="auto" w:sz="6" w:space="0"/>
              <w:right w:val="single" w:color="auto" w:sz="6" w:space="0"/>
            </w:tcBorders>
            <w:vAlign w:val="center"/>
          </w:tcPr>
          <w:p w14:paraId="60B30867">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城市次干路</w:t>
            </w:r>
          </w:p>
        </w:tc>
        <w:tc>
          <w:tcPr>
            <w:tcW w:w="566" w:type="pct"/>
            <w:tcBorders>
              <w:top w:val="single" w:color="auto" w:sz="6" w:space="0"/>
              <w:left w:val="single" w:color="auto" w:sz="6" w:space="0"/>
              <w:bottom w:val="single" w:color="auto" w:sz="6" w:space="0"/>
              <w:right w:val="single" w:color="auto" w:sz="6" w:space="0"/>
            </w:tcBorders>
            <w:vAlign w:val="center"/>
          </w:tcPr>
          <w:p w14:paraId="4F5635D4">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城市支路</w:t>
            </w:r>
          </w:p>
        </w:tc>
        <w:tc>
          <w:tcPr>
            <w:tcW w:w="400" w:type="pct"/>
            <w:tcBorders>
              <w:top w:val="single" w:color="auto" w:sz="4" w:space="0"/>
              <w:left w:val="single" w:color="auto" w:sz="6" w:space="0"/>
              <w:right w:val="single" w:color="auto" w:sz="6" w:space="0"/>
            </w:tcBorders>
          </w:tcPr>
          <w:p w14:paraId="395BDAC3">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p>
          <w:p w14:paraId="13E42F07">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乡村道路</w:t>
            </w:r>
          </w:p>
        </w:tc>
        <w:tc>
          <w:tcPr>
            <w:tcW w:w="767" w:type="pct"/>
            <w:vMerge w:val="restart"/>
            <w:tcBorders>
              <w:top w:val="single" w:color="auto" w:sz="4" w:space="0"/>
              <w:left w:val="single" w:color="auto" w:sz="6" w:space="0"/>
              <w:right w:val="single" w:color="auto" w:sz="4" w:space="0"/>
            </w:tcBorders>
            <w:vAlign w:val="center"/>
          </w:tcPr>
          <w:p w14:paraId="33ECDE42">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需结合管线回填的压实度要求，并取其较高标准实施。</w:t>
            </w:r>
          </w:p>
        </w:tc>
      </w:tr>
      <w:tr w14:paraId="639047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29" w:type="pct"/>
            <w:vMerge w:val="restart"/>
            <w:tcBorders>
              <w:top w:val="single" w:color="auto" w:sz="6" w:space="0"/>
              <w:left w:val="single" w:color="auto" w:sz="4" w:space="0"/>
              <w:bottom w:val="single" w:color="auto" w:sz="4" w:space="0"/>
              <w:right w:val="single" w:color="auto" w:sz="6" w:space="0"/>
            </w:tcBorders>
            <w:vAlign w:val="center"/>
          </w:tcPr>
          <w:p w14:paraId="198DF867">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填方路基</w:t>
            </w:r>
          </w:p>
        </w:tc>
        <w:tc>
          <w:tcPr>
            <w:tcW w:w="420" w:type="pct"/>
            <w:tcBorders>
              <w:top w:val="single" w:color="auto" w:sz="6" w:space="0"/>
              <w:left w:val="single" w:color="auto" w:sz="6" w:space="0"/>
              <w:bottom w:val="single" w:color="auto" w:sz="6" w:space="0"/>
              <w:right w:val="single" w:color="auto" w:sz="6" w:space="0"/>
            </w:tcBorders>
            <w:vAlign w:val="center"/>
          </w:tcPr>
          <w:p w14:paraId="767F411C">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0</w:t>
            </w:r>
            <w:r>
              <w:rPr>
                <w:rFonts w:hint="eastAsia" w:ascii="仿宋_GB2312" w:hAnsi="仿宋_GB2312" w:eastAsia="仿宋_GB2312" w:cs="仿宋_GB2312"/>
                <w:snapToGrid w:val="0"/>
                <w:kern w:val="0"/>
                <w:sz w:val="24"/>
                <w:szCs w:val="24"/>
                <w:highlight w:val="none"/>
                <w:lang w:eastAsia="zh-CN"/>
              </w:rPr>
              <w:t>-</w:t>
            </w:r>
            <w:r>
              <w:rPr>
                <w:rFonts w:hint="eastAsia" w:ascii="仿宋_GB2312" w:hAnsi="仿宋_GB2312" w:eastAsia="仿宋_GB2312" w:cs="仿宋_GB2312"/>
                <w:snapToGrid w:val="0"/>
                <w:kern w:val="0"/>
                <w:sz w:val="24"/>
                <w:szCs w:val="24"/>
                <w:highlight w:val="none"/>
              </w:rPr>
              <w:t>30</w:t>
            </w:r>
          </w:p>
        </w:tc>
        <w:tc>
          <w:tcPr>
            <w:tcW w:w="551" w:type="pct"/>
            <w:tcBorders>
              <w:top w:val="single" w:color="auto" w:sz="4" w:space="0"/>
              <w:left w:val="single" w:color="auto" w:sz="6" w:space="0"/>
              <w:bottom w:val="single" w:color="auto" w:sz="6" w:space="0"/>
              <w:right w:val="single" w:color="auto" w:sz="4" w:space="0"/>
            </w:tcBorders>
            <w:vAlign w:val="center"/>
          </w:tcPr>
          <w:p w14:paraId="0AF1CA22">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96</w:t>
            </w:r>
          </w:p>
        </w:tc>
        <w:tc>
          <w:tcPr>
            <w:tcW w:w="551" w:type="pct"/>
            <w:tcBorders>
              <w:top w:val="single" w:color="auto" w:sz="4" w:space="0"/>
              <w:left w:val="single" w:color="auto" w:sz="4" w:space="0"/>
              <w:bottom w:val="single" w:color="auto" w:sz="4" w:space="0"/>
              <w:right w:val="single" w:color="auto" w:sz="6" w:space="0"/>
            </w:tcBorders>
            <w:vAlign w:val="center"/>
          </w:tcPr>
          <w:p w14:paraId="78E430AC">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95</w:t>
            </w:r>
          </w:p>
        </w:tc>
        <w:tc>
          <w:tcPr>
            <w:tcW w:w="630" w:type="pct"/>
            <w:tcBorders>
              <w:top w:val="single" w:color="auto" w:sz="4" w:space="0"/>
              <w:left w:val="single" w:color="auto" w:sz="4" w:space="0"/>
              <w:bottom w:val="single" w:color="auto" w:sz="4" w:space="0"/>
              <w:right w:val="single" w:color="auto" w:sz="6" w:space="0"/>
            </w:tcBorders>
            <w:vAlign w:val="center"/>
          </w:tcPr>
          <w:p w14:paraId="652C2AC5">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95</w:t>
            </w:r>
          </w:p>
        </w:tc>
        <w:tc>
          <w:tcPr>
            <w:tcW w:w="687" w:type="pct"/>
            <w:tcBorders>
              <w:top w:val="single" w:color="auto" w:sz="6" w:space="0"/>
              <w:left w:val="single" w:color="auto" w:sz="6" w:space="0"/>
              <w:bottom w:val="single" w:color="auto" w:sz="6" w:space="0"/>
              <w:right w:val="single" w:color="auto" w:sz="6" w:space="0"/>
            </w:tcBorders>
            <w:vAlign w:val="center"/>
          </w:tcPr>
          <w:p w14:paraId="6A71C42B">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93</w:t>
            </w:r>
          </w:p>
        </w:tc>
        <w:tc>
          <w:tcPr>
            <w:tcW w:w="566" w:type="pct"/>
            <w:tcBorders>
              <w:top w:val="single" w:color="auto" w:sz="6" w:space="0"/>
              <w:left w:val="single" w:color="auto" w:sz="6" w:space="0"/>
              <w:bottom w:val="single" w:color="auto" w:sz="6" w:space="0"/>
              <w:right w:val="single" w:color="auto" w:sz="6" w:space="0"/>
            </w:tcBorders>
            <w:vAlign w:val="center"/>
          </w:tcPr>
          <w:p w14:paraId="297FA873">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90</w:t>
            </w:r>
          </w:p>
        </w:tc>
        <w:tc>
          <w:tcPr>
            <w:tcW w:w="400" w:type="pct"/>
            <w:tcBorders>
              <w:left w:val="single" w:color="auto" w:sz="6" w:space="0"/>
              <w:right w:val="single" w:color="auto" w:sz="6" w:space="0"/>
            </w:tcBorders>
            <w:vAlign w:val="center"/>
          </w:tcPr>
          <w:p w14:paraId="216DFCCD">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90</w:t>
            </w:r>
          </w:p>
        </w:tc>
        <w:tc>
          <w:tcPr>
            <w:tcW w:w="767" w:type="pct"/>
            <w:vMerge w:val="continue"/>
            <w:tcBorders>
              <w:left w:val="single" w:color="auto" w:sz="6" w:space="0"/>
              <w:right w:val="single" w:color="auto" w:sz="4" w:space="0"/>
            </w:tcBorders>
            <w:vAlign w:val="center"/>
          </w:tcPr>
          <w:p w14:paraId="138800B8">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p>
        </w:tc>
      </w:tr>
      <w:tr w14:paraId="1442EC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29" w:type="pct"/>
            <w:vMerge w:val="continue"/>
            <w:tcBorders>
              <w:top w:val="single" w:color="auto" w:sz="6" w:space="0"/>
              <w:left w:val="single" w:color="auto" w:sz="4" w:space="0"/>
              <w:bottom w:val="single" w:color="auto" w:sz="4" w:space="0"/>
              <w:right w:val="single" w:color="auto" w:sz="6" w:space="0"/>
            </w:tcBorders>
            <w:vAlign w:val="center"/>
          </w:tcPr>
          <w:p w14:paraId="312006E0">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p>
        </w:tc>
        <w:tc>
          <w:tcPr>
            <w:tcW w:w="420" w:type="pct"/>
            <w:tcBorders>
              <w:top w:val="single" w:color="auto" w:sz="6" w:space="0"/>
              <w:left w:val="single" w:color="auto" w:sz="6" w:space="0"/>
              <w:bottom w:val="single" w:color="auto" w:sz="6" w:space="0"/>
              <w:right w:val="single" w:color="auto" w:sz="6" w:space="0"/>
            </w:tcBorders>
            <w:vAlign w:val="center"/>
          </w:tcPr>
          <w:p w14:paraId="34B49312">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30</w:t>
            </w:r>
            <w:r>
              <w:rPr>
                <w:rFonts w:hint="eastAsia" w:ascii="仿宋_GB2312" w:hAnsi="仿宋_GB2312" w:eastAsia="仿宋_GB2312" w:cs="仿宋_GB2312"/>
                <w:snapToGrid w:val="0"/>
                <w:kern w:val="0"/>
                <w:sz w:val="24"/>
                <w:szCs w:val="24"/>
                <w:highlight w:val="none"/>
                <w:lang w:eastAsia="zh-CN"/>
              </w:rPr>
              <w:t>-</w:t>
            </w:r>
            <w:r>
              <w:rPr>
                <w:rFonts w:hint="eastAsia" w:ascii="仿宋_GB2312" w:hAnsi="仿宋_GB2312" w:eastAsia="仿宋_GB2312" w:cs="仿宋_GB2312"/>
                <w:snapToGrid w:val="0"/>
                <w:kern w:val="0"/>
                <w:sz w:val="24"/>
                <w:szCs w:val="24"/>
                <w:highlight w:val="none"/>
              </w:rPr>
              <w:t>80</w:t>
            </w:r>
          </w:p>
        </w:tc>
        <w:tc>
          <w:tcPr>
            <w:tcW w:w="551" w:type="pct"/>
            <w:tcBorders>
              <w:top w:val="single" w:color="auto" w:sz="6" w:space="0"/>
              <w:left w:val="single" w:color="auto" w:sz="6" w:space="0"/>
              <w:bottom w:val="single" w:color="auto" w:sz="6" w:space="0"/>
              <w:right w:val="single" w:color="auto" w:sz="4" w:space="0"/>
            </w:tcBorders>
            <w:vAlign w:val="center"/>
          </w:tcPr>
          <w:p w14:paraId="0E7AEF43">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96</w:t>
            </w:r>
          </w:p>
        </w:tc>
        <w:tc>
          <w:tcPr>
            <w:tcW w:w="551" w:type="pct"/>
            <w:tcBorders>
              <w:top w:val="single" w:color="auto" w:sz="4" w:space="0"/>
              <w:left w:val="single" w:color="auto" w:sz="4" w:space="0"/>
              <w:bottom w:val="single" w:color="auto" w:sz="6" w:space="0"/>
              <w:right w:val="single" w:color="auto" w:sz="6" w:space="0"/>
            </w:tcBorders>
            <w:vAlign w:val="center"/>
          </w:tcPr>
          <w:p w14:paraId="1D398907">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95</w:t>
            </w:r>
          </w:p>
        </w:tc>
        <w:tc>
          <w:tcPr>
            <w:tcW w:w="630" w:type="pct"/>
            <w:tcBorders>
              <w:top w:val="single" w:color="auto" w:sz="4" w:space="0"/>
              <w:left w:val="single" w:color="auto" w:sz="4" w:space="0"/>
              <w:bottom w:val="single" w:color="auto" w:sz="6" w:space="0"/>
              <w:right w:val="single" w:color="auto" w:sz="6" w:space="0"/>
            </w:tcBorders>
            <w:vAlign w:val="center"/>
          </w:tcPr>
          <w:p w14:paraId="434A810C">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95</w:t>
            </w:r>
          </w:p>
        </w:tc>
        <w:tc>
          <w:tcPr>
            <w:tcW w:w="687" w:type="pct"/>
            <w:tcBorders>
              <w:top w:val="single" w:color="auto" w:sz="6" w:space="0"/>
              <w:left w:val="single" w:color="auto" w:sz="6" w:space="0"/>
              <w:bottom w:val="single" w:color="auto" w:sz="6" w:space="0"/>
              <w:right w:val="single" w:color="auto" w:sz="6" w:space="0"/>
            </w:tcBorders>
            <w:vAlign w:val="center"/>
          </w:tcPr>
          <w:p w14:paraId="1C458958">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93</w:t>
            </w:r>
          </w:p>
        </w:tc>
        <w:tc>
          <w:tcPr>
            <w:tcW w:w="566" w:type="pct"/>
            <w:tcBorders>
              <w:top w:val="single" w:color="auto" w:sz="6" w:space="0"/>
              <w:left w:val="single" w:color="auto" w:sz="6" w:space="0"/>
              <w:bottom w:val="single" w:color="auto" w:sz="6" w:space="0"/>
              <w:right w:val="single" w:color="auto" w:sz="6" w:space="0"/>
            </w:tcBorders>
            <w:vAlign w:val="center"/>
          </w:tcPr>
          <w:p w14:paraId="32B2C298">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90</w:t>
            </w:r>
          </w:p>
        </w:tc>
        <w:tc>
          <w:tcPr>
            <w:tcW w:w="400" w:type="pct"/>
            <w:tcBorders>
              <w:left w:val="single" w:color="auto" w:sz="6" w:space="0"/>
              <w:right w:val="single" w:color="auto" w:sz="6" w:space="0"/>
            </w:tcBorders>
            <w:vAlign w:val="center"/>
          </w:tcPr>
          <w:p w14:paraId="0EE021F4">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90</w:t>
            </w:r>
          </w:p>
        </w:tc>
        <w:tc>
          <w:tcPr>
            <w:tcW w:w="767" w:type="pct"/>
            <w:vMerge w:val="continue"/>
            <w:tcBorders>
              <w:left w:val="single" w:color="auto" w:sz="6" w:space="0"/>
              <w:right w:val="single" w:color="auto" w:sz="4" w:space="0"/>
            </w:tcBorders>
            <w:vAlign w:val="center"/>
          </w:tcPr>
          <w:p w14:paraId="47835439">
            <w:pPr>
              <w:spacing w:line="240" w:lineRule="auto"/>
              <w:ind w:firstLine="0" w:firstLineChars="0"/>
              <w:jc w:val="center"/>
              <w:rPr>
                <w:rFonts w:hint="eastAsia" w:ascii="仿宋_GB2312" w:hAnsi="仿宋_GB2312" w:eastAsia="仿宋_GB2312" w:cs="仿宋_GB2312"/>
                <w:sz w:val="24"/>
                <w:szCs w:val="24"/>
                <w:highlight w:val="none"/>
              </w:rPr>
            </w:pPr>
          </w:p>
        </w:tc>
      </w:tr>
      <w:tr w14:paraId="69CD70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29" w:type="pct"/>
            <w:vMerge w:val="continue"/>
            <w:tcBorders>
              <w:top w:val="single" w:color="auto" w:sz="6" w:space="0"/>
              <w:left w:val="single" w:color="auto" w:sz="4" w:space="0"/>
              <w:bottom w:val="single" w:color="auto" w:sz="4" w:space="0"/>
              <w:right w:val="single" w:color="auto" w:sz="6" w:space="0"/>
            </w:tcBorders>
            <w:vAlign w:val="center"/>
          </w:tcPr>
          <w:p w14:paraId="667B4D8C">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p>
        </w:tc>
        <w:tc>
          <w:tcPr>
            <w:tcW w:w="420" w:type="pct"/>
            <w:tcBorders>
              <w:top w:val="single" w:color="auto" w:sz="6" w:space="0"/>
              <w:left w:val="single" w:color="auto" w:sz="6" w:space="0"/>
              <w:bottom w:val="single" w:color="auto" w:sz="6" w:space="0"/>
              <w:right w:val="single" w:color="auto" w:sz="6" w:space="0"/>
            </w:tcBorders>
            <w:vAlign w:val="center"/>
          </w:tcPr>
          <w:p w14:paraId="235AD4E5">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80</w:t>
            </w:r>
            <w:r>
              <w:rPr>
                <w:rFonts w:hint="eastAsia" w:ascii="仿宋_GB2312" w:hAnsi="仿宋_GB2312" w:eastAsia="仿宋_GB2312" w:cs="仿宋_GB2312"/>
                <w:snapToGrid w:val="0"/>
                <w:kern w:val="0"/>
                <w:sz w:val="24"/>
                <w:szCs w:val="24"/>
                <w:highlight w:val="none"/>
                <w:lang w:eastAsia="zh-CN"/>
              </w:rPr>
              <w:t>-</w:t>
            </w:r>
            <w:r>
              <w:rPr>
                <w:rFonts w:hint="eastAsia" w:ascii="仿宋_GB2312" w:hAnsi="仿宋_GB2312" w:eastAsia="仿宋_GB2312" w:cs="仿宋_GB2312"/>
                <w:snapToGrid w:val="0"/>
                <w:kern w:val="0"/>
                <w:sz w:val="24"/>
                <w:szCs w:val="24"/>
                <w:highlight w:val="none"/>
              </w:rPr>
              <w:t>150</w:t>
            </w:r>
          </w:p>
        </w:tc>
        <w:tc>
          <w:tcPr>
            <w:tcW w:w="551" w:type="pct"/>
            <w:tcBorders>
              <w:top w:val="single" w:color="auto" w:sz="6" w:space="0"/>
              <w:left w:val="single" w:color="auto" w:sz="6" w:space="0"/>
              <w:bottom w:val="single" w:color="auto" w:sz="6" w:space="0"/>
              <w:right w:val="single" w:color="auto" w:sz="4" w:space="0"/>
            </w:tcBorders>
            <w:vAlign w:val="center"/>
          </w:tcPr>
          <w:p w14:paraId="6EA61148">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94</w:t>
            </w:r>
          </w:p>
        </w:tc>
        <w:tc>
          <w:tcPr>
            <w:tcW w:w="551" w:type="pct"/>
            <w:tcBorders>
              <w:top w:val="single" w:color="auto" w:sz="6" w:space="0"/>
              <w:left w:val="single" w:color="auto" w:sz="4" w:space="0"/>
              <w:bottom w:val="single" w:color="auto" w:sz="6" w:space="0"/>
              <w:right w:val="single" w:color="auto" w:sz="6" w:space="0"/>
            </w:tcBorders>
            <w:vAlign w:val="center"/>
          </w:tcPr>
          <w:p w14:paraId="73F1EAEB">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94</w:t>
            </w:r>
          </w:p>
        </w:tc>
        <w:tc>
          <w:tcPr>
            <w:tcW w:w="630" w:type="pct"/>
            <w:tcBorders>
              <w:top w:val="single" w:color="auto" w:sz="6" w:space="0"/>
              <w:left w:val="single" w:color="auto" w:sz="4" w:space="0"/>
              <w:bottom w:val="single" w:color="auto" w:sz="6" w:space="0"/>
              <w:right w:val="single" w:color="auto" w:sz="6" w:space="0"/>
            </w:tcBorders>
            <w:vAlign w:val="center"/>
          </w:tcPr>
          <w:p w14:paraId="22CE2BA4">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93</w:t>
            </w:r>
          </w:p>
        </w:tc>
        <w:tc>
          <w:tcPr>
            <w:tcW w:w="687" w:type="pct"/>
            <w:tcBorders>
              <w:top w:val="single" w:color="auto" w:sz="6" w:space="0"/>
              <w:left w:val="single" w:color="auto" w:sz="6" w:space="0"/>
              <w:bottom w:val="single" w:color="auto" w:sz="6" w:space="0"/>
              <w:right w:val="single" w:color="auto" w:sz="6" w:space="0"/>
            </w:tcBorders>
            <w:vAlign w:val="center"/>
          </w:tcPr>
          <w:p w14:paraId="5A6CE634">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90</w:t>
            </w:r>
          </w:p>
        </w:tc>
        <w:tc>
          <w:tcPr>
            <w:tcW w:w="566" w:type="pct"/>
            <w:tcBorders>
              <w:top w:val="single" w:color="auto" w:sz="6" w:space="0"/>
              <w:left w:val="single" w:color="auto" w:sz="6" w:space="0"/>
              <w:bottom w:val="single" w:color="auto" w:sz="6" w:space="0"/>
              <w:right w:val="single" w:color="auto" w:sz="6" w:space="0"/>
            </w:tcBorders>
            <w:vAlign w:val="center"/>
          </w:tcPr>
          <w:p w14:paraId="1EC83880">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87</w:t>
            </w:r>
          </w:p>
        </w:tc>
        <w:tc>
          <w:tcPr>
            <w:tcW w:w="400" w:type="pct"/>
            <w:tcBorders>
              <w:left w:val="single" w:color="auto" w:sz="6" w:space="0"/>
              <w:right w:val="single" w:color="auto" w:sz="6" w:space="0"/>
            </w:tcBorders>
            <w:vAlign w:val="center"/>
          </w:tcPr>
          <w:p w14:paraId="022C57A7">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87</w:t>
            </w:r>
          </w:p>
        </w:tc>
        <w:tc>
          <w:tcPr>
            <w:tcW w:w="767" w:type="pct"/>
            <w:vMerge w:val="continue"/>
            <w:tcBorders>
              <w:left w:val="single" w:color="auto" w:sz="6" w:space="0"/>
              <w:right w:val="single" w:color="auto" w:sz="4" w:space="0"/>
            </w:tcBorders>
            <w:vAlign w:val="center"/>
          </w:tcPr>
          <w:p w14:paraId="7A2B4A47">
            <w:pPr>
              <w:spacing w:line="240" w:lineRule="auto"/>
              <w:ind w:firstLine="0" w:firstLineChars="0"/>
              <w:jc w:val="center"/>
              <w:rPr>
                <w:rFonts w:hint="eastAsia" w:ascii="仿宋_GB2312" w:hAnsi="仿宋_GB2312" w:eastAsia="仿宋_GB2312" w:cs="仿宋_GB2312"/>
                <w:sz w:val="24"/>
                <w:szCs w:val="24"/>
                <w:highlight w:val="none"/>
              </w:rPr>
            </w:pPr>
          </w:p>
        </w:tc>
      </w:tr>
      <w:tr w14:paraId="7B2A66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397" w:hRule="atLeast"/>
          <w:jc w:val="center"/>
        </w:trPr>
        <w:tc>
          <w:tcPr>
            <w:tcW w:w="429" w:type="pct"/>
            <w:vMerge w:val="continue"/>
            <w:tcBorders>
              <w:top w:val="single" w:color="auto" w:sz="6" w:space="0"/>
              <w:left w:val="single" w:color="auto" w:sz="4" w:space="0"/>
              <w:bottom w:val="single" w:color="auto" w:sz="4" w:space="0"/>
              <w:right w:val="single" w:color="auto" w:sz="6" w:space="0"/>
            </w:tcBorders>
            <w:vAlign w:val="center"/>
          </w:tcPr>
          <w:p w14:paraId="096FD4C9">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p>
        </w:tc>
        <w:tc>
          <w:tcPr>
            <w:tcW w:w="420" w:type="pct"/>
            <w:tcBorders>
              <w:top w:val="single" w:color="auto" w:sz="6" w:space="0"/>
              <w:left w:val="single" w:color="auto" w:sz="6" w:space="0"/>
              <w:bottom w:val="single" w:color="auto" w:sz="4" w:space="0"/>
              <w:right w:val="single" w:color="auto" w:sz="6" w:space="0"/>
            </w:tcBorders>
            <w:vAlign w:val="center"/>
          </w:tcPr>
          <w:p w14:paraId="2242D839">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≧150</w:t>
            </w:r>
          </w:p>
        </w:tc>
        <w:tc>
          <w:tcPr>
            <w:tcW w:w="551" w:type="pct"/>
            <w:tcBorders>
              <w:top w:val="single" w:color="auto" w:sz="6" w:space="0"/>
              <w:left w:val="single" w:color="auto" w:sz="6" w:space="0"/>
              <w:bottom w:val="single" w:color="auto" w:sz="4" w:space="0"/>
              <w:right w:val="single" w:color="auto" w:sz="4" w:space="0"/>
            </w:tcBorders>
            <w:vAlign w:val="center"/>
          </w:tcPr>
          <w:p w14:paraId="796DB4D5">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93</w:t>
            </w:r>
          </w:p>
        </w:tc>
        <w:tc>
          <w:tcPr>
            <w:tcW w:w="551" w:type="pct"/>
            <w:tcBorders>
              <w:top w:val="single" w:color="auto" w:sz="6" w:space="0"/>
              <w:left w:val="single" w:color="auto" w:sz="4" w:space="0"/>
              <w:bottom w:val="single" w:color="auto" w:sz="4" w:space="0"/>
              <w:right w:val="single" w:color="auto" w:sz="6" w:space="0"/>
            </w:tcBorders>
            <w:vAlign w:val="center"/>
          </w:tcPr>
          <w:p w14:paraId="00BF3D14">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92</w:t>
            </w:r>
          </w:p>
        </w:tc>
        <w:tc>
          <w:tcPr>
            <w:tcW w:w="630" w:type="pct"/>
            <w:tcBorders>
              <w:top w:val="single" w:color="auto" w:sz="6" w:space="0"/>
              <w:left w:val="single" w:color="auto" w:sz="4" w:space="0"/>
              <w:bottom w:val="single" w:color="auto" w:sz="4" w:space="0"/>
              <w:right w:val="single" w:color="auto" w:sz="6" w:space="0"/>
            </w:tcBorders>
            <w:vAlign w:val="center"/>
          </w:tcPr>
          <w:p w14:paraId="4396D8BF">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90</w:t>
            </w:r>
          </w:p>
        </w:tc>
        <w:tc>
          <w:tcPr>
            <w:tcW w:w="687" w:type="pct"/>
            <w:tcBorders>
              <w:top w:val="single" w:color="auto" w:sz="6" w:space="0"/>
              <w:left w:val="single" w:color="auto" w:sz="6" w:space="0"/>
              <w:bottom w:val="single" w:color="auto" w:sz="4" w:space="0"/>
              <w:right w:val="single" w:color="auto" w:sz="6" w:space="0"/>
            </w:tcBorders>
            <w:vAlign w:val="center"/>
          </w:tcPr>
          <w:p w14:paraId="0D05DEDF">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90</w:t>
            </w:r>
          </w:p>
        </w:tc>
        <w:tc>
          <w:tcPr>
            <w:tcW w:w="566" w:type="pct"/>
            <w:tcBorders>
              <w:top w:val="single" w:color="auto" w:sz="6" w:space="0"/>
              <w:left w:val="single" w:color="auto" w:sz="6" w:space="0"/>
              <w:bottom w:val="single" w:color="auto" w:sz="4" w:space="0"/>
              <w:right w:val="single" w:color="auto" w:sz="6" w:space="0"/>
            </w:tcBorders>
            <w:vAlign w:val="center"/>
          </w:tcPr>
          <w:p w14:paraId="3543DAE4">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87</w:t>
            </w:r>
          </w:p>
        </w:tc>
        <w:tc>
          <w:tcPr>
            <w:tcW w:w="400" w:type="pct"/>
            <w:tcBorders>
              <w:left w:val="single" w:color="auto" w:sz="6" w:space="0"/>
              <w:right w:val="single" w:color="auto" w:sz="6" w:space="0"/>
            </w:tcBorders>
            <w:vAlign w:val="center"/>
          </w:tcPr>
          <w:p w14:paraId="07313A6B">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87</w:t>
            </w:r>
          </w:p>
        </w:tc>
        <w:tc>
          <w:tcPr>
            <w:tcW w:w="767" w:type="pct"/>
            <w:vMerge w:val="continue"/>
            <w:tcBorders>
              <w:left w:val="single" w:color="auto" w:sz="6" w:space="0"/>
              <w:right w:val="single" w:color="auto" w:sz="4" w:space="0"/>
            </w:tcBorders>
            <w:vAlign w:val="center"/>
          </w:tcPr>
          <w:p w14:paraId="069AC955">
            <w:pPr>
              <w:spacing w:line="240" w:lineRule="auto"/>
              <w:ind w:firstLine="0" w:firstLineChars="0"/>
              <w:jc w:val="center"/>
              <w:rPr>
                <w:rFonts w:hint="eastAsia" w:ascii="仿宋_GB2312" w:hAnsi="仿宋_GB2312" w:eastAsia="仿宋_GB2312" w:cs="仿宋_GB2312"/>
                <w:sz w:val="24"/>
                <w:szCs w:val="24"/>
                <w:highlight w:val="none"/>
              </w:rPr>
            </w:pPr>
          </w:p>
        </w:tc>
      </w:tr>
      <w:tr w14:paraId="737148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29" w:type="pct"/>
            <w:vMerge w:val="restart"/>
            <w:tcBorders>
              <w:top w:val="single" w:color="auto" w:sz="6" w:space="0"/>
              <w:left w:val="single" w:color="auto" w:sz="4" w:space="0"/>
              <w:bottom w:val="single" w:color="auto" w:sz="4" w:space="0"/>
              <w:right w:val="single" w:color="auto" w:sz="6" w:space="0"/>
            </w:tcBorders>
            <w:vAlign w:val="center"/>
          </w:tcPr>
          <w:p w14:paraId="24B18F15">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挖方路基</w:t>
            </w:r>
          </w:p>
        </w:tc>
        <w:tc>
          <w:tcPr>
            <w:tcW w:w="420" w:type="pct"/>
            <w:tcBorders>
              <w:top w:val="single" w:color="auto" w:sz="4" w:space="0"/>
              <w:left w:val="single" w:color="auto" w:sz="6" w:space="0"/>
              <w:bottom w:val="single" w:color="auto" w:sz="6" w:space="0"/>
              <w:right w:val="single" w:color="auto" w:sz="6" w:space="0"/>
            </w:tcBorders>
            <w:vAlign w:val="center"/>
          </w:tcPr>
          <w:p w14:paraId="4ACACDE7">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0</w:t>
            </w:r>
            <w:r>
              <w:rPr>
                <w:rFonts w:hint="eastAsia" w:ascii="仿宋_GB2312" w:hAnsi="仿宋_GB2312" w:eastAsia="仿宋_GB2312" w:cs="仿宋_GB2312"/>
                <w:snapToGrid w:val="0"/>
                <w:kern w:val="0"/>
                <w:sz w:val="24"/>
                <w:szCs w:val="24"/>
                <w:highlight w:val="none"/>
                <w:lang w:eastAsia="zh-CN"/>
              </w:rPr>
              <w:t>-</w:t>
            </w:r>
            <w:r>
              <w:rPr>
                <w:rFonts w:hint="eastAsia" w:ascii="仿宋_GB2312" w:hAnsi="仿宋_GB2312" w:eastAsia="仿宋_GB2312" w:cs="仿宋_GB2312"/>
                <w:snapToGrid w:val="0"/>
                <w:kern w:val="0"/>
                <w:sz w:val="24"/>
                <w:szCs w:val="24"/>
                <w:highlight w:val="none"/>
              </w:rPr>
              <w:t>30</w:t>
            </w:r>
          </w:p>
        </w:tc>
        <w:tc>
          <w:tcPr>
            <w:tcW w:w="551" w:type="pct"/>
            <w:tcBorders>
              <w:top w:val="single" w:color="auto" w:sz="4" w:space="0"/>
              <w:left w:val="single" w:color="auto" w:sz="6" w:space="0"/>
              <w:bottom w:val="single" w:color="auto" w:sz="6" w:space="0"/>
              <w:right w:val="single" w:color="auto" w:sz="4" w:space="0"/>
            </w:tcBorders>
            <w:vAlign w:val="center"/>
          </w:tcPr>
          <w:p w14:paraId="6149F660">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96</w:t>
            </w:r>
          </w:p>
        </w:tc>
        <w:tc>
          <w:tcPr>
            <w:tcW w:w="551" w:type="pct"/>
            <w:tcBorders>
              <w:top w:val="single" w:color="auto" w:sz="4" w:space="0"/>
              <w:left w:val="single" w:color="auto" w:sz="4" w:space="0"/>
              <w:bottom w:val="single" w:color="auto" w:sz="6" w:space="0"/>
              <w:right w:val="single" w:color="auto" w:sz="6" w:space="0"/>
            </w:tcBorders>
            <w:vAlign w:val="center"/>
          </w:tcPr>
          <w:p w14:paraId="6D7DAA72">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95</w:t>
            </w:r>
          </w:p>
        </w:tc>
        <w:tc>
          <w:tcPr>
            <w:tcW w:w="630" w:type="pct"/>
            <w:tcBorders>
              <w:top w:val="single" w:color="auto" w:sz="4" w:space="0"/>
              <w:left w:val="single" w:color="auto" w:sz="4" w:space="0"/>
              <w:bottom w:val="single" w:color="auto" w:sz="6" w:space="0"/>
              <w:right w:val="single" w:color="auto" w:sz="6" w:space="0"/>
            </w:tcBorders>
            <w:vAlign w:val="center"/>
          </w:tcPr>
          <w:p w14:paraId="0900D4FF">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95</w:t>
            </w:r>
          </w:p>
        </w:tc>
        <w:tc>
          <w:tcPr>
            <w:tcW w:w="687" w:type="pct"/>
            <w:tcBorders>
              <w:top w:val="single" w:color="auto" w:sz="4" w:space="0"/>
              <w:left w:val="single" w:color="auto" w:sz="6" w:space="0"/>
              <w:bottom w:val="single" w:color="auto" w:sz="6" w:space="0"/>
              <w:right w:val="single" w:color="auto" w:sz="6" w:space="0"/>
            </w:tcBorders>
            <w:vAlign w:val="center"/>
          </w:tcPr>
          <w:p w14:paraId="7FF7FE98">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93</w:t>
            </w:r>
          </w:p>
        </w:tc>
        <w:tc>
          <w:tcPr>
            <w:tcW w:w="566" w:type="pct"/>
            <w:tcBorders>
              <w:top w:val="single" w:color="auto" w:sz="4" w:space="0"/>
              <w:left w:val="single" w:color="auto" w:sz="6" w:space="0"/>
              <w:bottom w:val="single" w:color="auto" w:sz="6" w:space="0"/>
              <w:right w:val="single" w:color="auto" w:sz="6" w:space="0"/>
            </w:tcBorders>
            <w:vAlign w:val="center"/>
          </w:tcPr>
          <w:p w14:paraId="67EF03C1">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90</w:t>
            </w:r>
          </w:p>
        </w:tc>
        <w:tc>
          <w:tcPr>
            <w:tcW w:w="400" w:type="pct"/>
            <w:tcBorders>
              <w:left w:val="single" w:color="auto" w:sz="6" w:space="0"/>
              <w:right w:val="single" w:color="auto" w:sz="6" w:space="0"/>
            </w:tcBorders>
            <w:vAlign w:val="center"/>
          </w:tcPr>
          <w:p w14:paraId="576FEABD">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90</w:t>
            </w:r>
          </w:p>
        </w:tc>
        <w:tc>
          <w:tcPr>
            <w:tcW w:w="767" w:type="pct"/>
            <w:vMerge w:val="continue"/>
            <w:tcBorders>
              <w:left w:val="single" w:color="auto" w:sz="6" w:space="0"/>
              <w:right w:val="single" w:color="auto" w:sz="4" w:space="0"/>
            </w:tcBorders>
            <w:vAlign w:val="center"/>
          </w:tcPr>
          <w:p w14:paraId="7B8D3683">
            <w:pPr>
              <w:spacing w:line="240" w:lineRule="auto"/>
              <w:ind w:firstLine="0" w:firstLineChars="0"/>
              <w:jc w:val="center"/>
              <w:rPr>
                <w:rFonts w:hint="eastAsia" w:ascii="仿宋_GB2312" w:hAnsi="仿宋_GB2312" w:eastAsia="仿宋_GB2312" w:cs="仿宋_GB2312"/>
                <w:sz w:val="24"/>
                <w:szCs w:val="24"/>
                <w:highlight w:val="none"/>
              </w:rPr>
            </w:pPr>
          </w:p>
        </w:tc>
      </w:tr>
      <w:tr w14:paraId="64427B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405" w:hRule="atLeast"/>
          <w:jc w:val="center"/>
        </w:trPr>
        <w:tc>
          <w:tcPr>
            <w:tcW w:w="429" w:type="pct"/>
            <w:vMerge w:val="continue"/>
            <w:tcBorders>
              <w:top w:val="single" w:color="auto" w:sz="6" w:space="0"/>
              <w:left w:val="single" w:color="auto" w:sz="4" w:space="0"/>
              <w:bottom w:val="single" w:color="auto" w:sz="4" w:space="0"/>
              <w:right w:val="single" w:color="auto" w:sz="6" w:space="0"/>
            </w:tcBorders>
            <w:vAlign w:val="center"/>
          </w:tcPr>
          <w:p w14:paraId="5BF0D1C0">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p>
        </w:tc>
        <w:tc>
          <w:tcPr>
            <w:tcW w:w="420" w:type="pct"/>
            <w:tcBorders>
              <w:top w:val="single" w:color="auto" w:sz="4" w:space="0"/>
              <w:left w:val="single" w:color="auto" w:sz="6" w:space="0"/>
              <w:bottom w:val="single" w:color="auto" w:sz="4" w:space="0"/>
              <w:right w:val="single" w:color="auto" w:sz="6" w:space="0"/>
            </w:tcBorders>
            <w:vAlign w:val="center"/>
          </w:tcPr>
          <w:p w14:paraId="40AB89BE">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30</w:t>
            </w:r>
            <w:r>
              <w:rPr>
                <w:rFonts w:hint="eastAsia" w:ascii="仿宋_GB2312" w:hAnsi="仿宋_GB2312" w:eastAsia="仿宋_GB2312" w:cs="仿宋_GB2312"/>
                <w:snapToGrid w:val="0"/>
                <w:kern w:val="0"/>
                <w:sz w:val="24"/>
                <w:szCs w:val="24"/>
                <w:highlight w:val="none"/>
                <w:lang w:eastAsia="zh-CN"/>
              </w:rPr>
              <w:t>-</w:t>
            </w:r>
            <w:r>
              <w:rPr>
                <w:rFonts w:hint="eastAsia" w:ascii="仿宋_GB2312" w:hAnsi="仿宋_GB2312" w:eastAsia="仿宋_GB2312" w:cs="仿宋_GB2312"/>
                <w:snapToGrid w:val="0"/>
                <w:kern w:val="0"/>
                <w:sz w:val="24"/>
                <w:szCs w:val="24"/>
                <w:highlight w:val="none"/>
              </w:rPr>
              <w:t>80</w:t>
            </w:r>
          </w:p>
        </w:tc>
        <w:tc>
          <w:tcPr>
            <w:tcW w:w="551" w:type="pct"/>
            <w:tcBorders>
              <w:top w:val="single" w:color="auto" w:sz="4" w:space="0"/>
              <w:left w:val="single" w:color="auto" w:sz="6" w:space="0"/>
              <w:bottom w:val="single" w:color="auto" w:sz="4" w:space="0"/>
              <w:right w:val="single" w:color="auto" w:sz="4" w:space="0"/>
            </w:tcBorders>
            <w:vAlign w:val="center"/>
          </w:tcPr>
          <w:p w14:paraId="0FD01372">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96</w:t>
            </w:r>
          </w:p>
        </w:tc>
        <w:tc>
          <w:tcPr>
            <w:tcW w:w="551" w:type="pct"/>
            <w:tcBorders>
              <w:top w:val="single" w:color="auto" w:sz="4" w:space="0"/>
              <w:left w:val="single" w:color="auto" w:sz="4" w:space="0"/>
              <w:bottom w:val="single" w:color="auto" w:sz="4" w:space="0"/>
              <w:right w:val="single" w:color="auto" w:sz="6" w:space="0"/>
            </w:tcBorders>
            <w:vAlign w:val="center"/>
          </w:tcPr>
          <w:p w14:paraId="3C86B296">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95</w:t>
            </w:r>
          </w:p>
        </w:tc>
        <w:tc>
          <w:tcPr>
            <w:tcW w:w="630" w:type="pct"/>
            <w:tcBorders>
              <w:top w:val="single" w:color="auto" w:sz="4" w:space="0"/>
              <w:left w:val="single" w:color="auto" w:sz="4" w:space="0"/>
              <w:bottom w:val="single" w:color="auto" w:sz="4" w:space="0"/>
              <w:right w:val="single" w:color="auto" w:sz="6" w:space="0"/>
            </w:tcBorders>
            <w:vAlign w:val="center"/>
          </w:tcPr>
          <w:p w14:paraId="167E0AD9">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w:t>
            </w:r>
          </w:p>
        </w:tc>
        <w:tc>
          <w:tcPr>
            <w:tcW w:w="687" w:type="pct"/>
            <w:tcBorders>
              <w:top w:val="single" w:color="auto" w:sz="4" w:space="0"/>
              <w:left w:val="single" w:color="auto" w:sz="6" w:space="0"/>
              <w:bottom w:val="single" w:color="auto" w:sz="4" w:space="0"/>
              <w:right w:val="single" w:color="auto" w:sz="6" w:space="0"/>
            </w:tcBorders>
            <w:vAlign w:val="center"/>
          </w:tcPr>
          <w:p w14:paraId="7C72DEF3">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w:t>
            </w:r>
          </w:p>
        </w:tc>
        <w:tc>
          <w:tcPr>
            <w:tcW w:w="566" w:type="pct"/>
            <w:tcBorders>
              <w:top w:val="single" w:color="auto" w:sz="4" w:space="0"/>
              <w:left w:val="single" w:color="auto" w:sz="6" w:space="0"/>
              <w:bottom w:val="single" w:color="auto" w:sz="4" w:space="0"/>
              <w:right w:val="single" w:color="auto" w:sz="6" w:space="0"/>
            </w:tcBorders>
            <w:vAlign w:val="center"/>
          </w:tcPr>
          <w:p w14:paraId="5DE0125A">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w:t>
            </w:r>
          </w:p>
        </w:tc>
        <w:tc>
          <w:tcPr>
            <w:tcW w:w="400" w:type="pct"/>
            <w:tcBorders>
              <w:left w:val="single" w:color="auto" w:sz="6" w:space="0"/>
              <w:bottom w:val="single" w:color="auto" w:sz="4" w:space="0"/>
              <w:right w:val="single" w:color="auto" w:sz="6" w:space="0"/>
            </w:tcBorders>
            <w:vAlign w:val="center"/>
          </w:tcPr>
          <w:p w14:paraId="782CED1F">
            <w:pPr>
              <w:adjustRightInd w:val="0"/>
              <w:snapToGrid w:val="0"/>
              <w:spacing w:line="240" w:lineRule="auto"/>
              <w:ind w:firstLine="0" w:firstLineChars="0"/>
              <w:jc w:val="center"/>
              <w:rPr>
                <w:rFonts w:hint="eastAsia" w:ascii="仿宋_GB2312" w:hAnsi="仿宋_GB2312" w:eastAsia="仿宋_GB2312" w:cs="仿宋_GB2312"/>
                <w:snapToGrid w:val="0"/>
                <w:kern w:val="0"/>
                <w:sz w:val="24"/>
                <w:szCs w:val="24"/>
                <w:highlight w:val="none"/>
              </w:rPr>
            </w:pPr>
            <w:r>
              <w:rPr>
                <w:rFonts w:hint="eastAsia" w:ascii="仿宋_GB2312" w:hAnsi="仿宋_GB2312" w:eastAsia="仿宋_GB2312" w:cs="仿宋_GB2312"/>
                <w:snapToGrid w:val="0"/>
                <w:kern w:val="0"/>
                <w:sz w:val="24"/>
                <w:szCs w:val="24"/>
                <w:highlight w:val="none"/>
              </w:rPr>
              <w:t>—</w:t>
            </w:r>
          </w:p>
        </w:tc>
        <w:tc>
          <w:tcPr>
            <w:tcW w:w="767" w:type="pct"/>
            <w:vMerge w:val="continue"/>
            <w:tcBorders>
              <w:left w:val="single" w:color="auto" w:sz="6" w:space="0"/>
              <w:bottom w:val="single" w:color="auto" w:sz="4" w:space="0"/>
              <w:right w:val="single" w:color="auto" w:sz="4" w:space="0"/>
            </w:tcBorders>
            <w:vAlign w:val="center"/>
          </w:tcPr>
          <w:p w14:paraId="6E91A3B6">
            <w:pPr>
              <w:spacing w:line="240" w:lineRule="auto"/>
              <w:ind w:firstLine="0" w:firstLineChars="0"/>
              <w:jc w:val="center"/>
              <w:rPr>
                <w:rFonts w:hint="eastAsia" w:ascii="仿宋_GB2312" w:hAnsi="仿宋_GB2312" w:eastAsia="仿宋_GB2312" w:cs="仿宋_GB2312"/>
                <w:sz w:val="24"/>
                <w:szCs w:val="24"/>
                <w:highlight w:val="none"/>
              </w:rPr>
            </w:pPr>
          </w:p>
        </w:tc>
      </w:tr>
    </w:tbl>
    <w:p w14:paraId="657E0828">
      <w:pPr>
        <w:pStyle w:val="7"/>
        <w:pageBreakBefore w:val="0"/>
        <w:widowControl w:val="0"/>
        <w:numPr>
          <w:ilvl w:val="3"/>
          <w:numId w:val="6"/>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bookmarkStart w:id="246" w:name="_Toc526414661"/>
      <w:r>
        <w:rPr>
          <w:rFonts w:hint="eastAsia" w:ascii="仿宋_GB2312" w:hAnsi="仿宋_GB2312" w:eastAsia="仿宋_GB2312" w:cs="仿宋_GB2312"/>
          <w:sz w:val="32"/>
          <w:szCs w:val="32"/>
          <w:highlight w:val="none"/>
        </w:rPr>
        <w:t>路面结构</w:t>
      </w:r>
      <w:bookmarkEnd w:id="246"/>
    </w:p>
    <w:p w14:paraId="2F0BC73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根据现状路面结构修复，当勘察无法查明现状路面结构时按相应道路等级标准计算确定，详见“路面结构设计图”。</w:t>
      </w:r>
    </w:p>
    <w:p w14:paraId="71E5626A">
      <w:pPr>
        <w:pStyle w:val="7"/>
        <w:pageBreakBefore w:val="0"/>
        <w:widowControl w:val="0"/>
        <w:numPr>
          <w:ilvl w:val="3"/>
          <w:numId w:val="6"/>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施工围蔽</w:t>
      </w:r>
    </w:p>
    <w:p w14:paraId="07FD5E8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项目主要为管道开挖及拖拉管施工；工期短（一般不超过1个月）；项目施工基本在现状道路上，周边人行、车辆出入需求大，不宜大范围封闭且施工封闭时间不宜太长；装配式穿孔金属板围蔽及仿真绿植围蔽适用于中长期工程，封闭时间长，封闭后拆装不灵活，且造价高，不符合现场实际。移动式围蔽造价低、灵活拆装、经济性好，因此本项目选用移动式围蔽。对于生活区一般性开挖或顶管施工，采用高水马围蔽；对于野外，无需防粉尘且短期定点作业如浅开挖埋管、做井、堆料等可采用常规水马或铁马。</w:t>
      </w:r>
    </w:p>
    <w:p w14:paraId="1E1FB7E9">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247" w:name="_Toc200038949"/>
      <w:bookmarkStart w:id="248" w:name="_Toc108252048"/>
      <w:bookmarkStart w:id="249" w:name="_Toc22527"/>
      <w:bookmarkStart w:id="250" w:name="_Toc13690"/>
      <w:bookmarkStart w:id="251" w:name="_Toc108252052"/>
      <w:r>
        <w:rPr>
          <w:rFonts w:hint="eastAsia" w:ascii="楷体" w:hAnsi="楷体" w:eastAsia="楷体" w:cs="楷体"/>
          <w:sz w:val="32"/>
          <w:szCs w:val="32"/>
          <w:highlight w:val="none"/>
        </w:rPr>
        <w:t>村居管网工程</w:t>
      </w:r>
      <w:bookmarkEnd w:id="247"/>
      <w:bookmarkEnd w:id="248"/>
      <w:bookmarkEnd w:id="249"/>
      <w:bookmarkEnd w:id="250"/>
    </w:p>
    <w:bookmarkEnd w:id="242"/>
    <w:bookmarkEnd w:id="251"/>
    <w:p w14:paraId="3683FA7C">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textAlignment w:val="auto"/>
        <w:rPr>
          <w:rFonts w:hint="eastAsia" w:ascii="仿宋_GB2312" w:hAnsi="仿宋_GB2312" w:eastAsia="仿宋_GB2312" w:cs="仿宋_GB2312"/>
          <w:sz w:val="32"/>
          <w:szCs w:val="32"/>
          <w:highlight w:val="none"/>
        </w:rPr>
      </w:pPr>
      <w:bookmarkStart w:id="252" w:name="_Toc28616"/>
      <w:bookmarkStart w:id="253" w:name="_Toc25601"/>
      <w:bookmarkStart w:id="254" w:name="_Toc535757820"/>
      <w:bookmarkStart w:id="255" w:name="_Toc518922286"/>
      <w:r>
        <w:rPr>
          <w:rFonts w:hint="eastAsia" w:ascii="仿宋_GB2312" w:hAnsi="仿宋_GB2312" w:eastAsia="仿宋_GB2312" w:cs="仿宋_GB2312"/>
          <w:sz w:val="32"/>
          <w:szCs w:val="32"/>
          <w:highlight w:val="none"/>
        </w:rPr>
        <w:t>村居管网工程建设方案</w:t>
      </w:r>
      <w:bookmarkEnd w:id="252"/>
      <w:bookmarkEnd w:id="253"/>
    </w:p>
    <w:p w14:paraId="002D2B50">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主要建设内容：渠龚自然村村居管网（PE管φ=20mm～80mm）1219m，安装入户智能水表40户，渠西自然村村居管网（PE管φ=20mm～100mm）1998m，安装入户智能水表67户。</w:t>
      </w:r>
    </w:p>
    <w:p w14:paraId="5FE33B62">
      <w:pPr>
        <w:ind w:firstLine="0" w:firstLineChars="0"/>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drawing>
          <wp:inline distT="0" distB="0" distL="0" distR="0">
            <wp:extent cx="3865245" cy="2112645"/>
            <wp:effectExtent l="0" t="0" r="5715" b="5715"/>
            <wp:docPr id="11989727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972723" name="图片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65245" cy="2112645"/>
                    </a:xfrm>
                    <a:prstGeom prst="rect">
                      <a:avLst/>
                    </a:prstGeom>
                  </pic:spPr>
                </pic:pic>
              </a:graphicData>
            </a:graphic>
          </wp:inline>
        </w:drawing>
      </w:r>
    </w:p>
    <w:p w14:paraId="2B69F599">
      <w:pPr>
        <w:spacing w:before="156"/>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图</w:t>
      </w:r>
      <w:r>
        <w:rPr>
          <w:rFonts w:hint="eastAsia" w:ascii="仿宋_GB2312" w:hAnsi="仿宋_GB2312" w:eastAsia="仿宋_GB2312" w:cs="仿宋_GB2312"/>
          <w:sz w:val="24"/>
          <w:szCs w:val="24"/>
          <w:highlight w:val="none"/>
        </w:rPr>
        <w:fldChar w:fldCharType="begin"/>
      </w:r>
      <w:r>
        <w:rPr>
          <w:rFonts w:hint="eastAsia" w:ascii="仿宋_GB2312" w:hAnsi="仿宋_GB2312" w:eastAsia="仿宋_GB2312" w:cs="仿宋_GB2312"/>
          <w:sz w:val="24"/>
          <w:szCs w:val="24"/>
          <w:highlight w:val="none"/>
        </w:rPr>
        <w:instrText xml:space="preserve">STYLEREF 1\s</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z w:val="24"/>
          <w:szCs w:val="24"/>
          <w:highlight w:val="none"/>
        </w:rPr>
        <w:t>7</w:t>
      </w:r>
      <w:r>
        <w:rPr>
          <w:rFonts w:hint="eastAsia" w:ascii="仿宋_GB2312" w:hAnsi="仿宋_GB2312" w:eastAsia="仿宋_GB2312" w:cs="仿宋_GB2312"/>
          <w:sz w:val="24"/>
          <w:szCs w:val="24"/>
          <w:highlight w:val="none"/>
        </w:rPr>
        <w:fldChar w:fldCharType="end"/>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sz w:val="24"/>
          <w:szCs w:val="24"/>
          <w:highlight w:val="none"/>
        </w:rPr>
        <w:fldChar w:fldCharType="begin"/>
      </w:r>
      <w:r>
        <w:rPr>
          <w:rFonts w:hint="eastAsia" w:ascii="仿宋_GB2312" w:hAnsi="仿宋_GB2312" w:eastAsia="仿宋_GB2312" w:cs="仿宋_GB2312"/>
          <w:sz w:val="24"/>
          <w:szCs w:val="24"/>
          <w:highlight w:val="none"/>
        </w:rPr>
        <w:instrText xml:space="preserve">SEQ图\*ARABIC\s 1</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z w:val="24"/>
          <w:szCs w:val="24"/>
          <w:highlight w:val="none"/>
        </w:rPr>
        <w:t>3</w:t>
      </w:r>
      <w:r>
        <w:rPr>
          <w:rFonts w:hint="eastAsia" w:ascii="仿宋_GB2312" w:hAnsi="仿宋_GB2312" w:eastAsia="仿宋_GB2312" w:cs="仿宋_GB2312"/>
          <w:sz w:val="24"/>
          <w:szCs w:val="24"/>
          <w:highlight w:val="none"/>
        </w:rPr>
        <w:fldChar w:fldCharType="end"/>
      </w:r>
      <w:r>
        <w:rPr>
          <w:rFonts w:hint="eastAsia" w:ascii="仿宋_GB2312" w:hAnsi="仿宋_GB2312" w:eastAsia="仿宋_GB2312" w:cs="仿宋_GB2312"/>
          <w:sz w:val="24"/>
          <w:szCs w:val="24"/>
          <w:highlight w:val="none"/>
        </w:rPr>
        <w:t>村居管网建设方案典型设计</w:t>
      </w:r>
    </w:p>
    <w:p w14:paraId="1AFFAC07">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textAlignment w:val="auto"/>
        <w:rPr>
          <w:rFonts w:hint="eastAsia" w:ascii="仿宋_GB2312" w:hAnsi="仿宋_GB2312" w:eastAsia="仿宋_GB2312" w:cs="仿宋_GB2312"/>
          <w:sz w:val="32"/>
          <w:szCs w:val="32"/>
          <w:highlight w:val="none"/>
        </w:rPr>
      </w:pPr>
      <w:bookmarkStart w:id="256" w:name="_Toc17930"/>
      <w:bookmarkStart w:id="257" w:name="_Toc23679"/>
      <w:r>
        <w:rPr>
          <w:rFonts w:hint="eastAsia" w:ascii="仿宋_GB2312" w:hAnsi="仿宋_GB2312" w:eastAsia="仿宋_GB2312" w:cs="仿宋_GB2312"/>
          <w:sz w:val="32"/>
          <w:szCs w:val="32"/>
          <w:highlight w:val="none"/>
        </w:rPr>
        <w:t>村居管网工程管材选择</w:t>
      </w:r>
      <w:bookmarkEnd w:id="254"/>
      <w:bookmarkEnd w:id="255"/>
      <w:bookmarkEnd w:id="256"/>
      <w:bookmarkEnd w:id="257"/>
    </w:p>
    <w:p w14:paraId="5D7739EB">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地区天然水体中铁含量不高，采用现有水处理工艺的出厂水和管网水根据水质检验部门检测结果，铁含量符合我国卫健委颁发的《生活饮用水卫生标准》规定的不得高于0.3mg/L的标准。但是，过去普遍采用的金属供水管道（特别是普通镀锌管和普通铸铁管）因为运行时间长而出现老化，金属管中的铁氧化产生铁锈。当管网中的铁锈超过一定浓度时，会使水变成黄色或红褐色。铁锈在金属管中产生沉积，特别是在流速偏低或管网的末端更为严重，一旦管内水流速度发生较大变化时，即可被带出，导致水质受到二次污染；加上现在多数家庭一般用水都是从水龙头直接取用，影响人体健康。</w:t>
      </w:r>
    </w:p>
    <w:p w14:paraId="10C9C8DD">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根据南昌县管材供应情况及工程经验，经常使用的小口径塑料管材主要有PE供水管、铝塑复合管等，这些塑料管材都表现出比金属管（镀锌钢管）更优越的特点。</w:t>
      </w:r>
    </w:p>
    <w:p w14:paraId="295AC373">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以PE管为代表的非金属管道，具有耐腐蚀、不生锈、不结垢、重量轻（仅为金属管的1/6～1/10）、水流阻力小（输水能耗降低5%以上）、综合节能性好（制造能耗降低75%）、运输安装方便、使用寿命长的特点。我国现行规定的聚乙烯供水管道的设计使用寿命不小于50年。同时应该在使用中注意塑料管受紫外线辐射老化较快，不宜在露天敷设。</w:t>
      </w:r>
    </w:p>
    <w:p w14:paraId="1A08E041">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bookmarkStart w:id="258" w:name="OLE_LINK125"/>
      <w:r>
        <w:rPr>
          <w:rFonts w:hint="eastAsia" w:ascii="仿宋_GB2312" w:hAnsi="仿宋_GB2312" w:eastAsia="仿宋_GB2312" w:cs="仿宋_GB2312"/>
          <w:sz w:val="32"/>
          <w:szCs w:val="32"/>
          <w:highlight w:val="none"/>
        </w:rPr>
        <w:t>综上所述，除过路外，DN150及以下埋地管道建议采用PE管，地面以上明装管材根据业主部门使用习惯建议采用喷塑镀锌钢管。</w:t>
      </w:r>
    </w:p>
    <w:bookmarkEnd w:id="258"/>
    <w:p w14:paraId="618FF068">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259" w:name="_Toc30691"/>
      <w:bookmarkStart w:id="260" w:name="_Toc200038950"/>
      <w:bookmarkStart w:id="261" w:name="_Toc7158"/>
      <w:r>
        <w:rPr>
          <w:rFonts w:hint="eastAsia" w:ascii="楷体" w:hAnsi="楷体" w:eastAsia="楷体" w:cs="楷体"/>
          <w:sz w:val="32"/>
          <w:szCs w:val="32"/>
          <w:highlight w:val="none"/>
        </w:rPr>
        <w:t>工程建设内容</w:t>
      </w:r>
      <w:bookmarkEnd w:id="259"/>
      <w:bookmarkEnd w:id="260"/>
      <w:bookmarkEnd w:id="261"/>
    </w:p>
    <w:p w14:paraId="6A06BAF8">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（1）渠龚自然村：新增引水主管（PE管φ=200～110mm）约2693m，入户管网（PE管φ=20mm～80mm）1219m，安装入户智能水表40户，以及相应的配套设施。</w:t>
      </w:r>
    </w:p>
    <w:p w14:paraId="1F3F993B">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（2）渠西自然村：新增引水主管（PE管φ=110mm）约251m，入户管网（PE管φ=20mm～100mm）1998m，安装入户智能水表67户，以及相应的配套设施。</w:t>
      </w:r>
    </w:p>
    <w:p w14:paraId="65E63DCE">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262" w:name="_Toc9165"/>
      <w:bookmarkStart w:id="263" w:name="_Toc15245"/>
      <w:r>
        <w:rPr>
          <w:rFonts w:hint="eastAsia" w:ascii="楷体" w:hAnsi="楷体" w:eastAsia="楷体" w:cs="楷体"/>
          <w:sz w:val="32"/>
          <w:szCs w:val="32"/>
          <w:highlight w:val="none"/>
        </w:rPr>
        <w:t>工程投资概算及概算表</w:t>
      </w:r>
      <w:bookmarkEnd w:id="262"/>
      <w:bookmarkEnd w:id="263"/>
    </w:p>
    <w:p w14:paraId="4CDDEBB7">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textAlignment w:val="auto"/>
        <w:rPr>
          <w:rFonts w:hint="eastAsia" w:ascii="仿宋_GB2312" w:hAnsi="仿宋_GB2312" w:eastAsia="仿宋_GB2312" w:cs="仿宋_GB2312"/>
          <w:sz w:val="32"/>
          <w:szCs w:val="32"/>
          <w:highlight w:val="none"/>
        </w:rPr>
      </w:pPr>
      <w:bookmarkStart w:id="264" w:name="_Toc194954242"/>
      <w:bookmarkStart w:id="265" w:name="_Toc194852854"/>
      <w:bookmarkStart w:id="266" w:name="_Toc32191"/>
      <w:bookmarkStart w:id="267" w:name="_Toc30820"/>
      <w:r>
        <w:rPr>
          <w:rFonts w:hint="eastAsia" w:ascii="仿宋_GB2312" w:hAnsi="仿宋_GB2312" w:eastAsia="仿宋_GB2312" w:cs="仿宋_GB2312"/>
          <w:sz w:val="32"/>
          <w:szCs w:val="32"/>
          <w:highlight w:val="none"/>
        </w:rPr>
        <w:t>编制依据</w:t>
      </w:r>
      <w:bookmarkEnd w:id="264"/>
      <w:bookmarkEnd w:id="265"/>
      <w:bookmarkEnd w:id="266"/>
      <w:bookmarkEnd w:id="267"/>
    </w:p>
    <w:p w14:paraId="78A8AA30">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bookmarkStart w:id="268" w:name="_Hlk194501783"/>
      <w:r>
        <w:rPr>
          <w:rFonts w:hint="eastAsia" w:ascii="仿宋_GB2312" w:hAnsi="仿宋_GB2312" w:eastAsia="仿宋_GB2312" w:cs="仿宋_GB2312"/>
          <w:sz w:val="32"/>
          <w:szCs w:val="32"/>
          <w:highlight w:val="none"/>
        </w:rPr>
        <w:t>1.工程概算的实物工程量是依据相关专业提供；</w:t>
      </w:r>
    </w:p>
    <w:p w14:paraId="7995E40D">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2.定额依据：</w:t>
      </w:r>
    </w:p>
    <w:p w14:paraId="065AC73B">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*《江西省房屋建筑与装饰工程消耗量定额及统一基价表》（2017版）</w:t>
      </w:r>
    </w:p>
    <w:p w14:paraId="6399C353">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*《江西省市政工程消耗量定额及统一基价表》（2017版）</w:t>
      </w:r>
    </w:p>
    <w:p w14:paraId="1CE73D64">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*《江西省通用安装工程消耗量定额及统一基价表》（2017版）</w:t>
      </w:r>
    </w:p>
    <w:p w14:paraId="6E2AF0EE">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*《江西省建筑与装饰、通用安装、市政工程费用定额》（2017版）</w:t>
      </w:r>
    </w:p>
    <w:p w14:paraId="0069BEDE">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3.人工价格，人工工日单价执行江西省住建厅发布的最新文件（赣建价〔2020〕5号）即：建筑、安装、市政工程定额综合工日单价调整为100元/工日；装饰工程定额综合工日单价调整为117元/工日；</w:t>
      </w:r>
    </w:p>
    <w:p w14:paraId="73CC0D68">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4.材料价格：主要材料价格主要参照《江西省造价信息》中南昌市2025年1月材料综合价格以及询价；</w:t>
      </w:r>
    </w:p>
    <w:p w14:paraId="762B48EA">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5.主要设备（管材、件）的价格，根据设计选用的型号和规格，通过信息价确定原价；</w:t>
      </w:r>
    </w:p>
    <w:p w14:paraId="75992414">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6.税率：《税务总局关于调整增值税税率通知》财税发〔2019〕27号文，税率为9%。</w:t>
      </w:r>
      <w:bookmarkEnd w:id="268"/>
    </w:p>
    <w:p w14:paraId="0F0A02D6">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textAlignment w:val="auto"/>
        <w:rPr>
          <w:rFonts w:hint="eastAsia" w:ascii="仿宋_GB2312" w:hAnsi="仿宋_GB2312" w:eastAsia="仿宋_GB2312" w:cs="仿宋_GB2312"/>
          <w:sz w:val="32"/>
          <w:szCs w:val="32"/>
          <w:highlight w:val="none"/>
        </w:rPr>
      </w:pPr>
      <w:bookmarkStart w:id="269" w:name="_Toc12285"/>
      <w:bookmarkStart w:id="270" w:name="_Toc194954243"/>
      <w:bookmarkStart w:id="271" w:name="_Toc3849"/>
      <w:r>
        <w:rPr>
          <w:rFonts w:hint="eastAsia" w:ascii="仿宋_GB2312" w:hAnsi="仿宋_GB2312" w:eastAsia="仿宋_GB2312" w:cs="仿宋_GB2312"/>
          <w:sz w:val="32"/>
          <w:szCs w:val="32"/>
          <w:highlight w:val="none"/>
        </w:rPr>
        <w:t>其他费用</w:t>
      </w:r>
      <w:bookmarkEnd w:id="269"/>
      <w:bookmarkEnd w:id="270"/>
      <w:bookmarkEnd w:id="271"/>
    </w:p>
    <w:p w14:paraId="0E1B910E">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按建设部建标〔2011〕1号《市政工程投资估算编制办法》、财政部关于印发《基本建设财务管理规定》的通知（财建〔2016〕504号）文件、南昌县政府投资项目建设控制标准（试行）规定并结合项目实际情况进行编制。</w:t>
      </w:r>
    </w:p>
    <w:p w14:paraId="52987A3C">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bookmarkStart w:id="272" w:name="_bookmark74"/>
      <w:bookmarkEnd w:id="272"/>
      <w:r>
        <w:rPr>
          <w:rFonts w:hint="eastAsia" w:ascii="仿宋_GB2312" w:hAnsi="仿宋_GB2312" w:eastAsia="仿宋_GB2312" w:cs="仿宋_GB2312"/>
          <w:sz w:val="32"/>
          <w:szCs w:val="32"/>
          <w:highlight w:val="none"/>
        </w:rPr>
        <w:t>（1）建设单位管理费：工程费用的5.0‰计取；</w:t>
      </w:r>
    </w:p>
    <w:p w14:paraId="3E9639D2">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（2）工程监理费按国家发展改革委、建设部发改价格〔2007〕670号文五折优惠计算；</w:t>
      </w:r>
    </w:p>
    <w:p w14:paraId="243507F4">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（3）工程勘察费（含测量）按照合同约定，暂按工程费的5.6‰，后期根据合同约定按照实务工作量据实结算，勘察外业见证费按勘察费的10%计列；</w:t>
      </w:r>
    </w:p>
    <w:p w14:paraId="217EED3D">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（4）工程设计费按《工程勘察设计收费标准》（2002年修订本），按50%计取（不考虑任何系数）；</w:t>
      </w:r>
    </w:p>
    <w:p w14:paraId="1D600F95">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（5）施工图设计文件审查费按赣价房字〔2000〕6号标准，工程费用的千分之一点二计算，且不低于0.5万元；</w:t>
      </w:r>
    </w:p>
    <w:p w14:paraId="0942997B">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（6）招标代理服务费按〈招标代理服务收费管理暂行办法〉（赣计价格「2002」1980号）下浮30%计算；</w:t>
      </w:r>
    </w:p>
    <w:p w14:paraId="5B06A8B2">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（7）预算编制费按设计费的10%计算；</w:t>
      </w:r>
    </w:p>
    <w:p w14:paraId="2982AA87">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（8）水土保持评价参考水保监〔2005〕22号文，水土保持补偿按0.8元/m2计列；</w:t>
      </w:r>
    </w:p>
    <w:p w14:paraId="14D4CC2C">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（9）检验检测费暂按建安工程费×0.5%估列；</w:t>
      </w:r>
    </w:p>
    <w:p w14:paraId="42A96044">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（10）社会稳定风险编制及评估费：参考沪发改投〔2012〕130号文，暂估列。</w:t>
      </w:r>
    </w:p>
    <w:p w14:paraId="76DEF7F4">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（11）防洪评价费：暂估列。</w:t>
      </w:r>
    </w:p>
    <w:p w14:paraId="62DB3104">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textAlignment w:val="auto"/>
        <w:rPr>
          <w:rFonts w:hint="eastAsia" w:ascii="仿宋_GB2312" w:hAnsi="仿宋_GB2312" w:eastAsia="仿宋_GB2312" w:cs="仿宋_GB2312"/>
          <w:sz w:val="32"/>
          <w:szCs w:val="32"/>
          <w:highlight w:val="none"/>
        </w:rPr>
      </w:pPr>
      <w:bookmarkStart w:id="273" w:name="bookmark128"/>
      <w:bookmarkEnd w:id="273"/>
      <w:bookmarkStart w:id="274" w:name="_Toc15370"/>
      <w:bookmarkStart w:id="275" w:name="_Toc5437"/>
      <w:bookmarkStart w:id="276" w:name="_Toc194852855"/>
      <w:bookmarkStart w:id="277" w:name="_Toc194954244"/>
      <w:r>
        <w:rPr>
          <w:rFonts w:hint="eastAsia" w:ascii="仿宋_GB2312" w:hAnsi="仿宋_GB2312" w:eastAsia="仿宋_GB2312" w:cs="仿宋_GB2312"/>
          <w:sz w:val="32"/>
          <w:szCs w:val="32"/>
          <w:highlight w:val="none"/>
        </w:rPr>
        <w:t>基本预备费</w:t>
      </w:r>
      <w:bookmarkEnd w:id="274"/>
      <w:bookmarkEnd w:id="275"/>
      <w:bookmarkEnd w:id="276"/>
      <w:bookmarkEnd w:id="277"/>
    </w:p>
    <w:p w14:paraId="0DF45D84">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w:t>
      </w:r>
      <w:bookmarkStart w:id="278" w:name="OLE_LINK2"/>
      <w:bookmarkStart w:id="279" w:name="OLE_LINK13"/>
      <w:r>
        <w:rPr>
          <w:rFonts w:hint="eastAsia" w:ascii="仿宋_GB2312" w:hAnsi="仿宋_GB2312" w:eastAsia="仿宋_GB2312" w:cs="仿宋_GB2312"/>
          <w:sz w:val="32"/>
          <w:szCs w:val="32"/>
          <w:highlight w:val="none"/>
        </w:rPr>
        <w:t>工程基本预备费是按工程费用为计取基数，乘以基本预备费费率（2%）进行计算。</w:t>
      </w:r>
      <w:bookmarkEnd w:id="278"/>
      <w:bookmarkEnd w:id="279"/>
    </w:p>
    <w:p w14:paraId="72B45C7A">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textAlignment w:val="auto"/>
        <w:rPr>
          <w:rFonts w:hint="eastAsia" w:ascii="仿宋_GB2312" w:hAnsi="仿宋_GB2312" w:eastAsia="仿宋_GB2312" w:cs="仿宋_GB2312"/>
          <w:sz w:val="32"/>
          <w:szCs w:val="32"/>
          <w:highlight w:val="none"/>
        </w:rPr>
      </w:pPr>
      <w:bookmarkStart w:id="280" w:name="bookmark129"/>
      <w:bookmarkEnd w:id="280"/>
      <w:bookmarkStart w:id="281" w:name="_Toc19993"/>
      <w:bookmarkStart w:id="282" w:name="_Toc194954245"/>
      <w:bookmarkStart w:id="283" w:name="_Toc18380"/>
      <w:bookmarkStart w:id="284" w:name="_Toc194852856"/>
      <w:r>
        <w:rPr>
          <w:rFonts w:hint="eastAsia" w:ascii="仿宋_GB2312" w:hAnsi="仿宋_GB2312" w:eastAsia="仿宋_GB2312" w:cs="仿宋_GB2312"/>
          <w:sz w:val="32"/>
          <w:szCs w:val="32"/>
          <w:highlight w:val="none"/>
        </w:rPr>
        <w:t>设计概算</w:t>
      </w:r>
      <w:bookmarkEnd w:id="281"/>
      <w:bookmarkEnd w:id="282"/>
      <w:bookmarkEnd w:id="283"/>
      <w:bookmarkEnd w:id="284"/>
    </w:p>
    <w:p w14:paraId="0C4CB81F">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本工程项目总投资259.88万元，其中工程费228.44万元，工程建设其他费26.87万元，预备费4.57万元。</w:t>
      </w:r>
    </w:p>
    <w:p w14:paraId="76404437">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textAlignment w:val="auto"/>
        <w:rPr>
          <w:rFonts w:hint="eastAsia" w:ascii="仿宋_GB2312" w:hAnsi="仿宋_GB2312" w:eastAsia="仿宋_GB2312" w:cs="仿宋_GB2312"/>
          <w:sz w:val="32"/>
          <w:szCs w:val="32"/>
          <w:highlight w:val="none"/>
        </w:rPr>
      </w:pPr>
      <w:bookmarkStart w:id="285" w:name="bookmark130"/>
      <w:bookmarkEnd w:id="285"/>
      <w:bookmarkStart w:id="286" w:name="_Toc194954246"/>
      <w:bookmarkStart w:id="287" w:name="_Toc5134"/>
      <w:bookmarkStart w:id="288" w:name="_Toc31607"/>
      <w:bookmarkStart w:id="289" w:name="_Toc194852857"/>
      <w:r>
        <w:rPr>
          <w:rFonts w:hint="eastAsia" w:ascii="仿宋_GB2312" w:hAnsi="仿宋_GB2312" w:eastAsia="仿宋_GB2312" w:cs="仿宋_GB2312"/>
          <w:sz w:val="32"/>
          <w:szCs w:val="32"/>
          <w:highlight w:val="none"/>
        </w:rPr>
        <w:t>资金筹措</w:t>
      </w:r>
      <w:bookmarkEnd w:id="286"/>
      <w:bookmarkEnd w:id="287"/>
      <w:bookmarkEnd w:id="288"/>
      <w:bookmarkEnd w:id="289"/>
    </w:p>
    <w:p w14:paraId="1A85F2B6">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资金来源：南昌市市级水利项目补助资金。</w:t>
      </w:r>
    </w:p>
    <w:p w14:paraId="1FBCE5FE">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textAlignment w:val="auto"/>
        <w:rPr>
          <w:rFonts w:hint="eastAsia" w:ascii="仿宋_GB2312" w:hAnsi="仿宋_GB2312" w:eastAsia="仿宋_GB2312" w:cs="仿宋_GB2312"/>
          <w:sz w:val="32"/>
          <w:szCs w:val="32"/>
          <w:highlight w:val="none"/>
        </w:rPr>
      </w:pPr>
      <w:bookmarkStart w:id="290" w:name="_Toc14278"/>
      <w:bookmarkStart w:id="291" w:name="_Toc26510"/>
      <w:r>
        <w:rPr>
          <w:rFonts w:hint="eastAsia" w:ascii="仿宋_GB2312" w:hAnsi="仿宋_GB2312" w:eastAsia="仿宋_GB2312" w:cs="仿宋_GB2312"/>
          <w:sz w:val="32"/>
          <w:szCs w:val="32"/>
          <w:highlight w:val="none"/>
        </w:rPr>
        <w:t>工程概算表</w:t>
      </w:r>
      <w:bookmarkEnd w:id="290"/>
      <w:bookmarkEnd w:id="291"/>
    </w:p>
    <w:p w14:paraId="7BF1515E">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p>
    <w:p w14:paraId="405774D4">
      <w:pPr>
        <w:pStyle w:val="2"/>
        <w:rPr>
          <w:rFonts w:hint="eastAsia" w:ascii="仿宋_GB2312" w:hAnsi="仿宋_GB2312" w:eastAsia="仿宋_GB2312" w:cs="仿宋_GB2312"/>
          <w:sz w:val="32"/>
          <w:szCs w:val="32"/>
          <w:highlight w:val="none"/>
        </w:rPr>
      </w:pPr>
    </w:p>
    <w:p w14:paraId="54DB4F9E">
      <w:pPr>
        <w:pStyle w:val="2"/>
        <w:rPr>
          <w:rFonts w:hint="eastAsia" w:ascii="仿宋_GB2312" w:hAnsi="仿宋_GB2312" w:eastAsia="仿宋_GB2312" w:cs="仿宋_GB2312"/>
          <w:sz w:val="32"/>
          <w:szCs w:val="32"/>
          <w:highlight w:val="none"/>
        </w:rPr>
      </w:pPr>
    </w:p>
    <w:p w14:paraId="2CD00BC1">
      <w:pPr>
        <w:spacing w:before="156"/>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表</w:t>
      </w:r>
      <w:r>
        <w:rPr>
          <w:rFonts w:hint="eastAsia" w:ascii="仿宋_GB2312" w:hAnsi="仿宋_GB2312" w:eastAsia="仿宋_GB2312" w:cs="仿宋_GB2312"/>
          <w:sz w:val="24"/>
          <w:szCs w:val="24"/>
          <w:highlight w:val="none"/>
        </w:rPr>
        <w:fldChar w:fldCharType="begin"/>
      </w:r>
      <w:r>
        <w:rPr>
          <w:rFonts w:hint="eastAsia" w:ascii="仿宋_GB2312" w:hAnsi="仿宋_GB2312" w:eastAsia="仿宋_GB2312" w:cs="仿宋_GB2312"/>
          <w:sz w:val="24"/>
          <w:szCs w:val="24"/>
          <w:highlight w:val="none"/>
        </w:rPr>
        <w:instrText xml:space="preserve">STYLEREF 1\s</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z w:val="24"/>
          <w:szCs w:val="24"/>
          <w:highlight w:val="none"/>
        </w:rPr>
        <w:t>7</w:t>
      </w:r>
      <w:r>
        <w:rPr>
          <w:rFonts w:hint="eastAsia" w:ascii="仿宋_GB2312" w:hAnsi="仿宋_GB2312" w:eastAsia="仿宋_GB2312" w:cs="仿宋_GB2312"/>
          <w:sz w:val="24"/>
          <w:szCs w:val="24"/>
          <w:highlight w:val="none"/>
        </w:rPr>
        <w:fldChar w:fldCharType="end"/>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sz w:val="24"/>
          <w:szCs w:val="24"/>
          <w:highlight w:val="none"/>
        </w:rPr>
        <w:fldChar w:fldCharType="begin"/>
      </w:r>
      <w:r>
        <w:rPr>
          <w:rFonts w:hint="eastAsia" w:ascii="仿宋_GB2312" w:hAnsi="仿宋_GB2312" w:eastAsia="仿宋_GB2312" w:cs="仿宋_GB2312"/>
          <w:sz w:val="24"/>
          <w:szCs w:val="24"/>
          <w:highlight w:val="none"/>
        </w:rPr>
        <w:instrText xml:space="preserve">SEQ表\*ARABIC\s 1</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z w:val="24"/>
          <w:szCs w:val="24"/>
          <w:highlight w:val="none"/>
        </w:rPr>
        <w:t>5</w:t>
      </w:r>
      <w:r>
        <w:rPr>
          <w:rFonts w:hint="eastAsia" w:ascii="仿宋_GB2312" w:hAnsi="仿宋_GB2312" w:eastAsia="仿宋_GB2312" w:cs="仿宋_GB2312"/>
          <w:sz w:val="24"/>
          <w:szCs w:val="24"/>
          <w:highlight w:val="none"/>
        </w:rPr>
        <w:fldChar w:fldCharType="end"/>
      </w:r>
      <w:r>
        <w:rPr>
          <w:rFonts w:hint="eastAsia" w:ascii="仿宋_GB2312" w:hAnsi="仿宋_GB2312" w:eastAsia="仿宋_GB2312" w:cs="仿宋_GB2312"/>
          <w:sz w:val="24"/>
          <w:szCs w:val="24"/>
          <w:highlight w:val="none"/>
        </w:rPr>
        <w:t>投资概算表</w:t>
      </w:r>
    </w:p>
    <w:tbl>
      <w:tblPr>
        <w:tblStyle w:val="27"/>
        <w:tblW w:w="5000" w:type="pct"/>
        <w:tblInd w:w="0" w:type="dxa"/>
        <w:tblLayout w:type="fixed"/>
        <w:tblCellMar>
          <w:top w:w="0" w:type="dxa"/>
          <w:left w:w="28" w:type="dxa"/>
          <w:bottom w:w="0" w:type="dxa"/>
          <w:right w:w="28" w:type="dxa"/>
        </w:tblCellMar>
      </w:tblPr>
      <w:tblGrid>
        <w:gridCol w:w="566"/>
        <w:gridCol w:w="1641"/>
        <w:gridCol w:w="2215"/>
        <w:gridCol w:w="709"/>
        <w:gridCol w:w="851"/>
        <w:gridCol w:w="567"/>
        <w:gridCol w:w="992"/>
        <w:gridCol w:w="821"/>
      </w:tblGrid>
      <w:tr w14:paraId="7EC0C707">
        <w:tblPrEx>
          <w:tblCellMar>
            <w:top w:w="0" w:type="dxa"/>
            <w:left w:w="28" w:type="dxa"/>
            <w:bottom w:w="0" w:type="dxa"/>
            <w:right w:w="28" w:type="dxa"/>
          </w:tblCellMar>
        </w:tblPrEx>
        <w:trPr>
          <w:trHeight w:val="300" w:hRule="atLeast"/>
        </w:trPr>
        <w:tc>
          <w:tcPr>
            <w:tcW w:w="566" w:type="dxa"/>
            <w:vMerge w:val="restart"/>
            <w:tcBorders>
              <w:top w:val="single" w:color="auto" w:sz="4" w:space="0"/>
              <w:left w:val="single" w:color="auto" w:sz="4" w:space="0"/>
              <w:bottom w:val="single" w:color="auto" w:sz="4" w:space="0"/>
              <w:right w:val="single" w:color="auto" w:sz="4" w:space="0"/>
            </w:tcBorders>
            <w:noWrap/>
            <w:textDirection w:val="tbRlV"/>
            <w:vAlign w:val="center"/>
          </w:tcPr>
          <w:p w14:paraId="445FB3B8">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序号</w:t>
            </w:r>
          </w:p>
        </w:tc>
        <w:tc>
          <w:tcPr>
            <w:tcW w:w="1641" w:type="dxa"/>
            <w:vMerge w:val="restart"/>
            <w:tcBorders>
              <w:top w:val="single" w:color="auto" w:sz="4" w:space="0"/>
              <w:left w:val="single" w:color="auto" w:sz="4" w:space="0"/>
              <w:bottom w:val="single" w:color="auto" w:sz="4" w:space="0"/>
              <w:right w:val="single" w:color="auto" w:sz="4" w:space="0"/>
            </w:tcBorders>
            <w:vAlign w:val="center"/>
          </w:tcPr>
          <w:p w14:paraId="02984E78">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工程和费用</w:t>
            </w:r>
          </w:p>
          <w:p w14:paraId="267E740F">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名称</w:t>
            </w:r>
          </w:p>
        </w:tc>
        <w:tc>
          <w:tcPr>
            <w:tcW w:w="3775" w:type="dxa"/>
            <w:gridSpan w:val="3"/>
            <w:tcBorders>
              <w:top w:val="single" w:color="auto" w:sz="4" w:space="0"/>
              <w:left w:val="nil"/>
              <w:bottom w:val="single" w:color="auto" w:sz="4" w:space="0"/>
              <w:right w:val="single" w:color="auto" w:sz="4" w:space="0"/>
            </w:tcBorders>
            <w:noWrap/>
            <w:vAlign w:val="center"/>
          </w:tcPr>
          <w:p w14:paraId="5C373199">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概算价值（万元）</w:t>
            </w:r>
          </w:p>
        </w:tc>
        <w:tc>
          <w:tcPr>
            <w:tcW w:w="2380" w:type="dxa"/>
            <w:gridSpan w:val="3"/>
            <w:tcBorders>
              <w:top w:val="single" w:color="auto" w:sz="4" w:space="0"/>
              <w:left w:val="nil"/>
              <w:bottom w:val="single" w:color="auto" w:sz="4" w:space="0"/>
              <w:right w:val="single" w:color="auto" w:sz="4" w:space="0"/>
            </w:tcBorders>
            <w:noWrap/>
            <w:vAlign w:val="center"/>
          </w:tcPr>
          <w:p w14:paraId="4C76A5BB">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技术经济指标</w:t>
            </w:r>
          </w:p>
        </w:tc>
      </w:tr>
      <w:tr w14:paraId="7BA3BF4A">
        <w:tblPrEx>
          <w:tblCellMar>
            <w:top w:w="0" w:type="dxa"/>
            <w:left w:w="28" w:type="dxa"/>
            <w:bottom w:w="0" w:type="dxa"/>
            <w:right w:w="28" w:type="dxa"/>
          </w:tblCellMar>
        </w:tblPrEx>
        <w:trPr>
          <w:trHeight w:val="600" w:hRule="atLeast"/>
        </w:trPr>
        <w:tc>
          <w:tcPr>
            <w:tcW w:w="566" w:type="dxa"/>
            <w:vMerge w:val="continue"/>
            <w:tcBorders>
              <w:top w:val="single" w:color="auto" w:sz="4" w:space="0"/>
              <w:left w:val="single" w:color="auto" w:sz="4" w:space="0"/>
              <w:bottom w:val="single" w:color="auto" w:sz="4" w:space="0"/>
              <w:right w:val="single" w:color="auto" w:sz="4" w:space="0"/>
            </w:tcBorders>
            <w:vAlign w:val="center"/>
          </w:tcPr>
          <w:p w14:paraId="44A05E6A">
            <w:pPr>
              <w:ind w:firstLine="0" w:firstLineChars="0"/>
              <w:jc w:val="center"/>
              <w:rPr>
                <w:rFonts w:hint="eastAsia" w:ascii="仿宋_GB2312" w:hAnsi="仿宋_GB2312" w:eastAsia="仿宋_GB2312" w:cs="仿宋_GB2312"/>
                <w:sz w:val="24"/>
                <w:szCs w:val="24"/>
                <w:highlight w:val="none"/>
              </w:rPr>
            </w:pPr>
          </w:p>
        </w:tc>
        <w:tc>
          <w:tcPr>
            <w:tcW w:w="1641" w:type="dxa"/>
            <w:vMerge w:val="continue"/>
            <w:tcBorders>
              <w:top w:val="single" w:color="auto" w:sz="4" w:space="0"/>
              <w:left w:val="single" w:color="auto" w:sz="4" w:space="0"/>
              <w:bottom w:val="single" w:color="auto" w:sz="4" w:space="0"/>
              <w:right w:val="single" w:color="auto" w:sz="4" w:space="0"/>
            </w:tcBorders>
            <w:vAlign w:val="center"/>
          </w:tcPr>
          <w:p w14:paraId="5752E08C">
            <w:pPr>
              <w:ind w:firstLine="0" w:firstLineChars="0"/>
              <w:jc w:val="center"/>
              <w:rPr>
                <w:rFonts w:hint="eastAsia" w:ascii="仿宋_GB2312" w:hAnsi="仿宋_GB2312" w:eastAsia="仿宋_GB2312" w:cs="仿宋_GB2312"/>
                <w:sz w:val="24"/>
                <w:szCs w:val="24"/>
                <w:highlight w:val="none"/>
              </w:rPr>
            </w:pPr>
          </w:p>
        </w:tc>
        <w:tc>
          <w:tcPr>
            <w:tcW w:w="2215" w:type="dxa"/>
            <w:tcBorders>
              <w:top w:val="single" w:color="auto" w:sz="4" w:space="0"/>
              <w:left w:val="nil"/>
              <w:bottom w:val="single" w:color="auto" w:sz="4" w:space="0"/>
              <w:right w:val="single" w:color="000000" w:sz="4" w:space="0"/>
            </w:tcBorders>
            <w:noWrap/>
            <w:vAlign w:val="center"/>
          </w:tcPr>
          <w:p w14:paraId="217D451C">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建安工程费</w:t>
            </w:r>
          </w:p>
        </w:tc>
        <w:tc>
          <w:tcPr>
            <w:tcW w:w="709" w:type="dxa"/>
            <w:tcBorders>
              <w:top w:val="nil"/>
              <w:left w:val="nil"/>
              <w:bottom w:val="single" w:color="auto" w:sz="4" w:space="0"/>
              <w:right w:val="single" w:color="auto" w:sz="4" w:space="0"/>
            </w:tcBorders>
            <w:noWrap/>
            <w:vAlign w:val="center"/>
          </w:tcPr>
          <w:p w14:paraId="5DD10C60">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其他费用</w:t>
            </w:r>
          </w:p>
        </w:tc>
        <w:tc>
          <w:tcPr>
            <w:tcW w:w="851" w:type="dxa"/>
            <w:tcBorders>
              <w:top w:val="nil"/>
              <w:left w:val="nil"/>
              <w:bottom w:val="single" w:color="auto" w:sz="4" w:space="0"/>
              <w:right w:val="single" w:color="auto" w:sz="4" w:space="0"/>
            </w:tcBorders>
            <w:noWrap/>
            <w:vAlign w:val="center"/>
          </w:tcPr>
          <w:p w14:paraId="37D4AA79">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合计</w:t>
            </w:r>
          </w:p>
        </w:tc>
        <w:tc>
          <w:tcPr>
            <w:tcW w:w="567" w:type="dxa"/>
            <w:tcBorders>
              <w:top w:val="nil"/>
              <w:left w:val="nil"/>
              <w:bottom w:val="single" w:color="auto" w:sz="4" w:space="0"/>
              <w:right w:val="single" w:color="auto" w:sz="4" w:space="0"/>
            </w:tcBorders>
            <w:noWrap/>
            <w:vAlign w:val="center"/>
          </w:tcPr>
          <w:p w14:paraId="749CB780">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单位</w:t>
            </w:r>
          </w:p>
        </w:tc>
        <w:tc>
          <w:tcPr>
            <w:tcW w:w="992" w:type="dxa"/>
            <w:tcBorders>
              <w:top w:val="nil"/>
              <w:left w:val="nil"/>
              <w:bottom w:val="single" w:color="auto" w:sz="4" w:space="0"/>
              <w:right w:val="single" w:color="auto" w:sz="4" w:space="0"/>
            </w:tcBorders>
            <w:noWrap/>
            <w:vAlign w:val="center"/>
          </w:tcPr>
          <w:p w14:paraId="3B3897A5">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数量</w:t>
            </w:r>
          </w:p>
        </w:tc>
        <w:tc>
          <w:tcPr>
            <w:tcW w:w="821" w:type="dxa"/>
            <w:tcBorders>
              <w:top w:val="nil"/>
              <w:left w:val="nil"/>
              <w:bottom w:val="single" w:color="auto" w:sz="4" w:space="0"/>
              <w:right w:val="single" w:color="auto" w:sz="4" w:space="0"/>
            </w:tcBorders>
            <w:vAlign w:val="center"/>
          </w:tcPr>
          <w:p w14:paraId="051E6F62">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单位价值（元）</w:t>
            </w:r>
          </w:p>
        </w:tc>
      </w:tr>
      <w:tr w14:paraId="1CB107D8">
        <w:tblPrEx>
          <w:tblCellMar>
            <w:top w:w="0" w:type="dxa"/>
            <w:left w:w="28" w:type="dxa"/>
            <w:bottom w:w="0" w:type="dxa"/>
            <w:right w:w="28" w:type="dxa"/>
          </w:tblCellMar>
        </w:tblPrEx>
        <w:trPr>
          <w:trHeight w:val="439" w:hRule="atLeast"/>
        </w:trPr>
        <w:tc>
          <w:tcPr>
            <w:tcW w:w="566" w:type="dxa"/>
            <w:tcBorders>
              <w:top w:val="nil"/>
              <w:left w:val="single" w:color="auto" w:sz="4" w:space="0"/>
              <w:bottom w:val="single" w:color="auto" w:sz="4" w:space="0"/>
              <w:right w:val="single" w:color="auto" w:sz="4" w:space="0"/>
            </w:tcBorders>
            <w:noWrap/>
            <w:vAlign w:val="center"/>
          </w:tcPr>
          <w:p w14:paraId="53EE7F08">
            <w:pPr>
              <w:ind w:firstLine="0" w:firstLineChars="0"/>
              <w:jc w:val="cente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I</w:t>
            </w:r>
          </w:p>
        </w:tc>
        <w:tc>
          <w:tcPr>
            <w:tcW w:w="1641" w:type="dxa"/>
            <w:tcBorders>
              <w:top w:val="nil"/>
              <w:left w:val="nil"/>
              <w:bottom w:val="single" w:color="auto" w:sz="4" w:space="0"/>
              <w:right w:val="single" w:color="auto" w:sz="4" w:space="0"/>
            </w:tcBorders>
            <w:vAlign w:val="center"/>
          </w:tcPr>
          <w:p w14:paraId="7F8C2733">
            <w:pPr>
              <w:ind w:firstLine="0" w:firstLineChars="0"/>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第一部分工程费用</w:t>
            </w:r>
          </w:p>
        </w:tc>
        <w:tc>
          <w:tcPr>
            <w:tcW w:w="2215" w:type="dxa"/>
            <w:tcBorders>
              <w:top w:val="single" w:color="auto" w:sz="4" w:space="0"/>
              <w:left w:val="nil"/>
              <w:bottom w:val="single" w:color="auto" w:sz="4" w:space="0"/>
              <w:right w:val="single" w:color="000000" w:sz="4" w:space="0"/>
            </w:tcBorders>
            <w:vAlign w:val="center"/>
          </w:tcPr>
          <w:p w14:paraId="3EC8D2CD">
            <w:pPr>
              <w:ind w:firstLine="0" w:firstLineChars="0"/>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228.44</w:t>
            </w:r>
          </w:p>
        </w:tc>
        <w:tc>
          <w:tcPr>
            <w:tcW w:w="709" w:type="dxa"/>
            <w:tcBorders>
              <w:top w:val="nil"/>
              <w:left w:val="nil"/>
              <w:bottom w:val="single" w:color="auto" w:sz="4" w:space="0"/>
              <w:right w:val="single" w:color="auto" w:sz="4" w:space="0"/>
            </w:tcBorders>
            <w:noWrap/>
            <w:vAlign w:val="center"/>
          </w:tcPr>
          <w:p w14:paraId="394BE54E">
            <w:pPr>
              <w:ind w:firstLine="0" w:firstLineChars="0"/>
              <w:rPr>
                <w:rFonts w:hint="eastAsia" w:ascii="仿宋_GB2312" w:hAnsi="仿宋_GB2312" w:eastAsia="仿宋_GB2312" w:cs="仿宋_GB2312"/>
                <w:b/>
                <w:bCs/>
                <w:sz w:val="24"/>
                <w:szCs w:val="24"/>
                <w:highlight w:val="none"/>
              </w:rPr>
            </w:pPr>
          </w:p>
        </w:tc>
        <w:tc>
          <w:tcPr>
            <w:tcW w:w="851" w:type="dxa"/>
            <w:tcBorders>
              <w:top w:val="nil"/>
              <w:left w:val="nil"/>
              <w:bottom w:val="single" w:color="auto" w:sz="4" w:space="0"/>
              <w:right w:val="single" w:color="auto" w:sz="4" w:space="0"/>
            </w:tcBorders>
            <w:noWrap/>
            <w:vAlign w:val="center"/>
          </w:tcPr>
          <w:p w14:paraId="2FA8AB37">
            <w:pPr>
              <w:ind w:firstLine="0" w:firstLineChars="0"/>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228.44</w:t>
            </w:r>
          </w:p>
        </w:tc>
        <w:tc>
          <w:tcPr>
            <w:tcW w:w="567" w:type="dxa"/>
            <w:tcBorders>
              <w:top w:val="nil"/>
              <w:left w:val="nil"/>
              <w:bottom w:val="single" w:color="auto" w:sz="4" w:space="0"/>
              <w:right w:val="single" w:color="auto" w:sz="4" w:space="0"/>
            </w:tcBorders>
            <w:vAlign w:val="center"/>
          </w:tcPr>
          <w:p w14:paraId="74BD3A90">
            <w:pPr>
              <w:ind w:firstLine="0" w:firstLineChars="0"/>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m</w:t>
            </w:r>
          </w:p>
        </w:tc>
        <w:tc>
          <w:tcPr>
            <w:tcW w:w="992" w:type="dxa"/>
            <w:tcBorders>
              <w:top w:val="nil"/>
              <w:left w:val="nil"/>
              <w:bottom w:val="single" w:color="auto" w:sz="4" w:space="0"/>
              <w:right w:val="single" w:color="auto" w:sz="4" w:space="0"/>
            </w:tcBorders>
            <w:vAlign w:val="center"/>
          </w:tcPr>
          <w:p w14:paraId="1A7CA17F">
            <w:pPr>
              <w:ind w:firstLine="0" w:firstLineChars="0"/>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6191.70</w:t>
            </w:r>
          </w:p>
        </w:tc>
        <w:tc>
          <w:tcPr>
            <w:tcW w:w="821" w:type="dxa"/>
            <w:tcBorders>
              <w:top w:val="nil"/>
              <w:left w:val="nil"/>
              <w:bottom w:val="single" w:color="auto" w:sz="4" w:space="0"/>
              <w:right w:val="single" w:color="auto" w:sz="4" w:space="0"/>
            </w:tcBorders>
            <w:vAlign w:val="center"/>
          </w:tcPr>
          <w:p w14:paraId="3A4C504A">
            <w:pPr>
              <w:ind w:firstLine="0" w:firstLineChars="0"/>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368.95</w:t>
            </w:r>
          </w:p>
        </w:tc>
      </w:tr>
      <w:tr w14:paraId="5B3D682C">
        <w:tblPrEx>
          <w:tblCellMar>
            <w:top w:w="0" w:type="dxa"/>
            <w:left w:w="28" w:type="dxa"/>
            <w:bottom w:w="0" w:type="dxa"/>
            <w:right w:w="28" w:type="dxa"/>
          </w:tblCellMar>
        </w:tblPrEx>
        <w:trPr>
          <w:trHeight w:val="420" w:hRule="atLeast"/>
        </w:trPr>
        <w:tc>
          <w:tcPr>
            <w:tcW w:w="566" w:type="dxa"/>
            <w:tcBorders>
              <w:top w:val="nil"/>
              <w:left w:val="single" w:color="auto" w:sz="4" w:space="0"/>
              <w:bottom w:val="single" w:color="auto" w:sz="4" w:space="0"/>
              <w:right w:val="single" w:color="auto" w:sz="4" w:space="0"/>
            </w:tcBorders>
            <w:noWrap/>
            <w:vAlign w:val="center"/>
          </w:tcPr>
          <w:p w14:paraId="4E869E98">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w:t>
            </w:r>
          </w:p>
        </w:tc>
        <w:tc>
          <w:tcPr>
            <w:tcW w:w="1641" w:type="dxa"/>
            <w:tcBorders>
              <w:top w:val="nil"/>
              <w:left w:val="nil"/>
              <w:bottom w:val="single" w:color="auto" w:sz="4" w:space="0"/>
              <w:right w:val="single" w:color="auto" w:sz="4" w:space="0"/>
            </w:tcBorders>
            <w:noWrap/>
            <w:vAlign w:val="center"/>
          </w:tcPr>
          <w:p w14:paraId="1D7EFEBE">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向塘镇西洛村村头以上管网</w:t>
            </w:r>
          </w:p>
        </w:tc>
        <w:tc>
          <w:tcPr>
            <w:tcW w:w="2215" w:type="dxa"/>
            <w:tcBorders>
              <w:top w:val="single" w:color="auto" w:sz="4" w:space="0"/>
              <w:left w:val="nil"/>
              <w:bottom w:val="single" w:color="auto" w:sz="4" w:space="0"/>
              <w:right w:val="single" w:color="000000" w:sz="4" w:space="0"/>
            </w:tcBorders>
            <w:noWrap/>
            <w:vAlign w:val="center"/>
          </w:tcPr>
          <w:p w14:paraId="2BFF8A7A">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183.43</w:t>
            </w:r>
          </w:p>
        </w:tc>
        <w:tc>
          <w:tcPr>
            <w:tcW w:w="709" w:type="dxa"/>
            <w:tcBorders>
              <w:top w:val="nil"/>
              <w:left w:val="nil"/>
              <w:bottom w:val="single" w:color="auto" w:sz="4" w:space="0"/>
              <w:right w:val="single" w:color="auto" w:sz="4" w:space="0"/>
            </w:tcBorders>
            <w:noWrap/>
            <w:vAlign w:val="center"/>
          </w:tcPr>
          <w:p w14:paraId="057040CB">
            <w:pPr>
              <w:ind w:firstLine="0" w:firstLineChars="0"/>
              <w:rPr>
                <w:rFonts w:hint="eastAsia" w:ascii="仿宋_GB2312" w:hAnsi="仿宋_GB2312" w:eastAsia="仿宋_GB2312" w:cs="仿宋_GB2312"/>
                <w:sz w:val="24"/>
                <w:szCs w:val="24"/>
                <w:highlight w:val="none"/>
              </w:rPr>
            </w:pPr>
          </w:p>
        </w:tc>
        <w:tc>
          <w:tcPr>
            <w:tcW w:w="851" w:type="dxa"/>
            <w:tcBorders>
              <w:top w:val="nil"/>
              <w:left w:val="nil"/>
              <w:bottom w:val="single" w:color="auto" w:sz="4" w:space="0"/>
              <w:right w:val="single" w:color="auto" w:sz="4" w:space="0"/>
            </w:tcBorders>
            <w:noWrap/>
            <w:vAlign w:val="center"/>
          </w:tcPr>
          <w:p w14:paraId="3E725063">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183.43</w:t>
            </w:r>
          </w:p>
        </w:tc>
        <w:tc>
          <w:tcPr>
            <w:tcW w:w="567" w:type="dxa"/>
            <w:tcBorders>
              <w:top w:val="nil"/>
              <w:left w:val="nil"/>
              <w:bottom w:val="single" w:color="auto" w:sz="4" w:space="0"/>
              <w:right w:val="single" w:color="auto" w:sz="4" w:space="0"/>
            </w:tcBorders>
            <w:vAlign w:val="center"/>
          </w:tcPr>
          <w:p w14:paraId="4282B8FC">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m</w:t>
            </w:r>
          </w:p>
        </w:tc>
        <w:tc>
          <w:tcPr>
            <w:tcW w:w="992" w:type="dxa"/>
            <w:tcBorders>
              <w:top w:val="nil"/>
              <w:left w:val="nil"/>
              <w:bottom w:val="single" w:color="auto" w:sz="4" w:space="0"/>
              <w:right w:val="single" w:color="auto" w:sz="4" w:space="0"/>
            </w:tcBorders>
            <w:vAlign w:val="center"/>
          </w:tcPr>
          <w:p w14:paraId="2BFF7F47">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2974.20</w:t>
            </w:r>
          </w:p>
        </w:tc>
        <w:tc>
          <w:tcPr>
            <w:tcW w:w="821" w:type="dxa"/>
            <w:tcBorders>
              <w:top w:val="nil"/>
              <w:left w:val="nil"/>
              <w:bottom w:val="single" w:color="auto" w:sz="4" w:space="0"/>
              <w:right w:val="single" w:color="auto" w:sz="4" w:space="0"/>
            </w:tcBorders>
            <w:vAlign w:val="center"/>
          </w:tcPr>
          <w:p w14:paraId="03C29792">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616.74</w:t>
            </w:r>
          </w:p>
        </w:tc>
      </w:tr>
      <w:tr w14:paraId="537CC45F">
        <w:tblPrEx>
          <w:tblCellMar>
            <w:top w:w="0" w:type="dxa"/>
            <w:left w:w="28" w:type="dxa"/>
            <w:bottom w:w="0" w:type="dxa"/>
            <w:right w:w="28" w:type="dxa"/>
          </w:tblCellMar>
        </w:tblPrEx>
        <w:trPr>
          <w:trHeight w:val="439" w:hRule="atLeast"/>
        </w:trPr>
        <w:tc>
          <w:tcPr>
            <w:tcW w:w="566" w:type="dxa"/>
            <w:tcBorders>
              <w:top w:val="nil"/>
              <w:left w:val="single" w:color="auto" w:sz="4" w:space="0"/>
              <w:bottom w:val="single" w:color="auto" w:sz="4" w:space="0"/>
              <w:right w:val="single" w:color="auto" w:sz="4" w:space="0"/>
            </w:tcBorders>
            <w:noWrap/>
            <w:vAlign w:val="center"/>
          </w:tcPr>
          <w:p w14:paraId="5DD2394C">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w:t>
            </w:r>
          </w:p>
        </w:tc>
        <w:tc>
          <w:tcPr>
            <w:tcW w:w="1641" w:type="dxa"/>
            <w:tcBorders>
              <w:top w:val="nil"/>
              <w:left w:val="nil"/>
              <w:bottom w:val="single" w:color="auto" w:sz="4" w:space="0"/>
              <w:right w:val="single" w:color="auto" w:sz="4" w:space="0"/>
            </w:tcBorders>
            <w:noWrap/>
            <w:vAlign w:val="center"/>
          </w:tcPr>
          <w:p w14:paraId="64ED063A">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向塘镇西洛村村内管网</w:t>
            </w:r>
          </w:p>
        </w:tc>
        <w:tc>
          <w:tcPr>
            <w:tcW w:w="2215" w:type="dxa"/>
            <w:tcBorders>
              <w:top w:val="single" w:color="auto" w:sz="4" w:space="0"/>
              <w:left w:val="nil"/>
              <w:bottom w:val="single" w:color="auto" w:sz="4" w:space="0"/>
              <w:right w:val="single" w:color="000000" w:sz="4" w:space="0"/>
            </w:tcBorders>
            <w:noWrap/>
            <w:vAlign w:val="center"/>
          </w:tcPr>
          <w:p w14:paraId="7414D54E">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45.01</w:t>
            </w:r>
          </w:p>
        </w:tc>
        <w:tc>
          <w:tcPr>
            <w:tcW w:w="709" w:type="dxa"/>
            <w:tcBorders>
              <w:top w:val="nil"/>
              <w:left w:val="nil"/>
              <w:bottom w:val="single" w:color="auto" w:sz="4" w:space="0"/>
              <w:right w:val="single" w:color="auto" w:sz="4" w:space="0"/>
            </w:tcBorders>
            <w:noWrap/>
            <w:vAlign w:val="center"/>
          </w:tcPr>
          <w:p w14:paraId="5E48034D">
            <w:pPr>
              <w:ind w:firstLine="0" w:firstLineChars="0"/>
              <w:rPr>
                <w:rFonts w:hint="eastAsia" w:ascii="仿宋_GB2312" w:hAnsi="仿宋_GB2312" w:eastAsia="仿宋_GB2312" w:cs="仿宋_GB2312"/>
                <w:sz w:val="24"/>
                <w:szCs w:val="24"/>
                <w:highlight w:val="none"/>
              </w:rPr>
            </w:pPr>
          </w:p>
        </w:tc>
        <w:tc>
          <w:tcPr>
            <w:tcW w:w="851" w:type="dxa"/>
            <w:tcBorders>
              <w:top w:val="nil"/>
              <w:left w:val="nil"/>
              <w:bottom w:val="single" w:color="auto" w:sz="4" w:space="0"/>
              <w:right w:val="single" w:color="auto" w:sz="4" w:space="0"/>
            </w:tcBorders>
            <w:noWrap/>
            <w:vAlign w:val="center"/>
          </w:tcPr>
          <w:p w14:paraId="0BB38574">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45.01</w:t>
            </w:r>
          </w:p>
        </w:tc>
        <w:tc>
          <w:tcPr>
            <w:tcW w:w="567" w:type="dxa"/>
            <w:tcBorders>
              <w:top w:val="nil"/>
              <w:left w:val="nil"/>
              <w:bottom w:val="single" w:color="auto" w:sz="4" w:space="0"/>
              <w:right w:val="single" w:color="auto" w:sz="4" w:space="0"/>
            </w:tcBorders>
            <w:vAlign w:val="center"/>
          </w:tcPr>
          <w:p w14:paraId="01137CE0">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m</w:t>
            </w:r>
          </w:p>
        </w:tc>
        <w:tc>
          <w:tcPr>
            <w:tcW w:w="992" w:type="dxa"/>
            <w:tcBorders>
              <w:top w:val="nil"/>
              <w:left w:val="nil"/>
              <w:bottom w:val="single" w:color="auto" w:sz="4" w:space="0"/>
              <w:right w:val="single" w:color="auto" w:sz="4" w:space="0"/>
            </w:tcBorders>
            <w:vAlign w:val="center"/>
          </w:tcPr>
          <w:p w14:paraId="63AA46A9">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3217.50</w:t>
            </w:r>
          </w:p>
        </w:tc>
        <w:tc>
          <w:tcPr>
            <w:tcW w:w="821" w:type="dxa"/>
            <w:tcBorders>
              <w:top w:val="nil"/>
              <w:left w:val="nil"/>
              <w:bottom w:val="single" w:color="auto" w:sz="4" w:space="0"/>
              <w:right w:val="single" w:color="auto" w:sz="4" w:space="0"/>
            </w:tcBorders>
            <w:vAlign w:val="center"/>
          </w:tcPr>
          <w:p w14:paraId="16659E76">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139.90</w:t>
            </w:r>
          </w:p>
        </w:tc>
      </w:tr>
      <w:tr w14:paraId="1249F266">
        <w:tblPrEx>
          <w:tblCellMar>
            <w:top w:w="0" w:type="dxa"/>
            <w:left w:w="28" w:type="dxa"/>
            <w:bottom w:w="0" w:type="dxa"/>
            <w:right w:w="28" w:type="dxa"/>
          </w:tblCellMar>
        </w:tblPrEx>
        <w:trPr>
          <w:trHeight w:val="439" w:hRule="atLeast"/>
        </w:trPr>
        <w:tc>
          <w:tcPr>
            <w:tcW w:w="566" w:type="dxa"/>
            <w:tcBorders>
              <w:top w:val="nil"/>
              <w:left w:val="single" w:color="auto" w:sz="4" w:space="0"/>
              <w:bottom w:val="single" w:color="auto" w:sz="4" w:space="0"/>
              <w:right w:val="single" w:color="auto" w:sz="4" w:space="0"/>
            </w:tcBorders>
            <w:vAlign w:val="center"/>
          </w:tcPr>
          <w:p w14:paraId="7486507E">
            <w:pPr>
              <w:ind w:firstLine="0" w:firstLineChars="0"/>
              <w:jc w:val="cente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Ⅱ</w:t>
            </w:r>
          </w:p>
        </w:tc>
        <w:tc>
          <w:tcPr>
            <w:tcW w:w="1641" w:type="dxa"/>
            <w:tcBorders>
              <w:top w:val="nil"/>
              <w:left w:val="nil"/>
              <w:bottom w:val="single" w:color="auto" w:sz="4" w:space="0"/>
              <w:right w:val="single" w:color="auto" w:sz="4" w:space="0"/>
            </w:tcBorders>
            <w:vAlign w:val="center"/>
          </w:tcPr>
          <w:p w14:paraId="5FCAE5C3">
            <w:pPr>
              <w:ind w:firstLine="0" w:firstLineChars="0"/>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第二部分工程建设其他费用</w:t>
            </w:r>
          </w:p>
        </w:tc>
        <w:tc>
          <w:tcPr>
            <w:tcW w:w="2215" w:type="dxa"/>
            <w:tcBorders>
              <w:top w:val="single" w:color="auto" w:sz="4" w:space="0"/>
              <w:left w:val="nil"/>
              <w:bottom w:val="single" w:color="auto" w:sz="4" w:space="0"/>
              <w:right w:val="single" w:color="auto" w:sz="4" w:space="0"/>
            </w:tcBorders>
            <w:noWrap/>
            <w:vAlign w:val="center"/>
          </w:tcPr>
          <w:p w14:paraId="05DD4A93">
            <w:pPr>
              <w:ind w:firstLine="0" w:firstLineChars="0"/>
              <w:rPr>
                <w:rFonts w:hint="eastAsia" w:ascii="仿宋_GB2312" w:hAnsi="仿宋_GB2312" w:eastAsia="仿宋_GB2312" w:cs="仿宋_GB2312"/>
                <w:b/>
                <w:bCs/>
                <w:sz w:val="24"/>
                <w:szCs w:val="24"/>
                <w:highlight w:val="none"/>
              </w:rPr>
            </w:pPr>
          </w:p>
        </w:tc>
        <w:tc>
          <w:tcPr>
            <w:tcW w:w="709" w:type="dxa"/>
            <w:tcBorders>
              <w:top w:val="nil"/>
              <w:left w:val="nil"/>
              <w:bottom w:val="single" w:color="auto" w:sz="4" w:space="0"/>
              <w:right w:val="single" w:color="auto" w:sz="4" w:space="0"/>
            </w:tcBorders>
            <w:noWrap/>
            <w:vAlign w:val="center"/>
          </w:tcPr>
          <w:p w14:paraId="1582AFFD">
            <w:pPr>
              <w:ind w:firstLine="0" w:firstLineChars="0"/>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26.87</w:t>
            </w:r>
          </w:p>
        </w:tc>
        <w:tc>
          <w:tcPr>
            <w:tcW w:w="851" w:type="dxa"/>
            <w:tcBorders>
              <w:top w:val="nil"/>
              <w:left w:val="nil"/>
              <w:bottom w:val="single" w:color="auto" w:sz="4" w:space="0"/>
              <w:right w:val="single" w:color="auto" w:sz="4" w:space="0"/>
            </w:tcBorders>
            <w:noWrap/>
            <w:vAlign w:val="center"/>
          </w:tcPr>
          <w:p w14:paraId="51A6346E">
            <w:pPr>
              <w:ind w:firstLine="0" w:firstLineChars="0"/>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26.87</w:t>
            </w:r>
          </w:p>
        </w:tc>
        <w:tc>
          <w:tcPr>
            <w:tcW w:w="567" w:type="dxa"/>
            <w:tcBorders>
              <w:top w:val="nil"/>
              <w:left w:val="nil"/>
              <w:bottom w:val="single" w:color="auto" w:sz="4" w:space="0"/>
              <w:right w:val="single" w:color="auto" w:sz="4" w:space="0"/>
            </w:tcBorders>
            <w:vAlign w:val="center"/>
          </w:tcPr>
          <w:p w14:paraId="703650A7">
            <w:pPr>
              <w:ind w:firstLine="0" w:firstLineChars="0"/>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项</w:t>
            </w:r>
          </w:p>
        </w:tc>
        <w:tc>
          <w:tcPr>
            <w:tcW w:w="992" w:type="dxa"/>
            <w:tcBorders>
              <w:top w:val="nil"/>
              <w:left w:val="nil"/>
              <w:bottom w:val="single" w:color="auto" w:sz="4" w:space="0"/>
              <w:right w:val="single" w:color="auto" w:sz="4" w:space="0"/>
            </w:tcBorders>
            <w:vAlign w:val="center"/>
          </w:tcPr>
          <w:p w14:paraId="6EC0F7B3">
            <w:pPr>
              <w:ind w:firstLine="0" w:firstLineChars="0"/>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1.00</w:t>
            </w:r>
          </w:p>
        </w:tc>
        <w:tc>
          <w:tcPr>
            <w:tcW w:w="821" w:type="dxa"/>
            <w:tcBorders>
              <w:top w:val="nil"/>
              <w:left w:val="nil"/>
              <w:bottom w:val="single" w:color="auto" w:sz="4" w:space="0"/>
              <w:right w:val="single" w:color="auto" w:sz="4" w:space="0"/>
            </w:tcBorders>
            <w:vAlign w:val="center"/>
          </w:tcPr>
          <w:p w14:paraId="7BEB708E">
            <w:pPr>
              <w:ind w:firstLine="0" w:firstLineChars="0"/>
              <w:rPr>
                <w:rFonts w:hint="eastAsia" w:ascii="仿宋_GB2312" w:hAnsi="仿宋_GB2312" w:eastAsia="仿宋_GB2312" w:cs="仿宋_GB2312"/>
                <w:sz w:val="24"/>
                <w:szCs w:val="24"/>
                <w:highlight w:val="none"/>
              </w:rPr>
            </w:pPr>
          </w:p>
        </w:tc>
      </w:tr>
      <w:tr w14:paraId="5DA55987">
        <w:tblPrEx>
          <w:tblCellMar>
            <w:top w:w="0" w:type="dxa"/>
            <w:left w:w="28" w:type="dxa"/>
            <w:bottom w:w="0" w:type="dxa"/>
            <w:right w:w="28" w:type="dxa"/>
          </w:tblCellMar>
        </w:tblPrEx>
        <w:trPr>
          <w:trHeight w:val="679" w:hRule="atLeast"/>
        </w:trPr>
        <w:tc>
          <w:tcPr>
            <w:tcW w:w="566" w:type="dxa"/>
            <w:tcBorders>
              <w:top w:val="nil"/>
              <w:left w:val="single" w:color="auto" w:sz="4" w:space="0"/>
              <w:bottom w:val="single" w:color="auto" w:sz="4" w:space="0"/>
              <w:right w:val="single" w:color="auto" w:sz="4" w:space="0"/>
            </w:tcBorders>
            <w:noWrap/>
            <w:vAlign w:val="center"/>
          </w:tcPr>
          <w:p w14:paraId="39E4DB71">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w:t>
            </w:r>
          </w:p>
        </w:tc>
        <w:tc>
          <w:tcPr>
            <w:tcW w:w="1641" w:type="dxa"/>
            <w:tcBorders>
              <w:top w:val="nil"/>
              <w:left w:val="nil"/>
              <w:bottom w:val="single" w:color="auto" w:sz="4" w:space="0"/>
              <w:right w:val="single" w:color="auto" w:sz="4" w:space="0"/>
            </w:tcBorders>
            <w:vAlign w:val="center"/>
          </w:tcPr>
          <w:p w14:paraId="1BC35439">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项目建设管理费</w:t>
            </w:r>
          </w:p>
        </w:tc>
        <w:tc>
          <w:tcPr>
            <w:tcW w:w="2215" w:type="dxa"/>
            <w:tcBorders>
              <w:top w:val="single" w:color="auto" w:sz="4" w:space="0"/>
              <w:left w:val="nil"/>
              <w:bottom w:val="single" w:color="auto" w:sz="4" w:space="0"/>
              <w:right w:val="single" w:color="auto" w:sz="4" w:space="0"/>
            </w:tcBorders>
            <w:vAlign w:val="center"/>
          </w:tcPr>
          <w:p w14:paraId="2F82BDD7">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按照“南昌县政府投资项目建设控制标准（试行）”，工程费5‰执行</w:t>
            </w:r>
          </w:p>
        </w:tc>
        <w:tc>
          <w:tcPr>
            <w:tcW w:w="709" w:type="dxa"/>
            <w:tcBorders>
              <w:top w:val="nil"/>
              <w:left w:val="nil"/>
              <w:bottom w:val="single" w:color="auto" w:sz="4" w:space="0"/>
              <w:right w:val="single" w:color="auto" w:sz="4" w:space="0"/>
            </w:tcBorders>
            <w:noWrap/>
            <w:vAlign w:val="center"/>
          </w:tcPr>
          <w:p w14:paraId="45B99E3F">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1.14</w:t>
            </w:r>
          </w:p>
        </w:tc>
        <w:tc>
          <w:tcPr>
            <w:tcW w:w="851" w:type="dxa"/>
            <w:tcBorders>
              <w:top w:val="nil"/>
              <w:left w:val="nil"/>
              <w:bottom w:val="single" w:color="auto" w:sz="4" w:space="0"/>
              <w:right w:val="single" w:color="auto" w:sz="4" w:space="0"/>
            </w:tcBorders>
            <w:noWrap/>
            <w:vAlign w:val="center"/>
          </w:tcPr>
          <w:p w14:paraId="7CF8B91D">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1.14</w:t>
            </w:r>
          </w:p>
        </w:tc>
        <w:tc>
          <w:tcPr>
            <w:tcW w:w="567" w:type="dxa"/>
            <w:tcBorders>
              <w:top w:val="nil"/>
              <w:left w:val="nil"/>
              <w:bottom w:val="single" w:color="auto" w:sz="4" w:space="0"/>
              <w:right w:val="single" w:color="auto" w:sz="4" w:space="0"/>
            </w:tcBorders>
            <w:noWrap/>
            <w:vAlign w:val="center"/>
          </w:tcPr>
          <w:p w14:paraId="6CE292C1">
            <w:pPr>
              <w:ind w:firstLine="0" w:firstLineChars="0"/>
              <w:rPr>
                <w:rFonts w:hint="eastAsia" w:ascii="仿宋_GB2312" w:hAnsi="仿宋_GB2312" w:eastAsia="仿宋_GB2312" w:cs="仿宋_GB2312"/>
                <w:sz w:val="24"/>
                <w:szCs w:val="24"/>
                <w:highlight w:val="none"/>
              </w:rPr>
            </w:pPr>
          </w:p>
        </w:tc>
        <w:tc>
          <w:tcPr>
            <w:tcW w:w="992" w:type="dxa"/>
            <w:tcBorders>
              <w:top w:val="nil"/>
              <w:left w:val="nil"/>
              <w:bottom w:val="single" w:color="auto" w:sz="4" w:space="0"/>
              <w:right w:val="single" w:color="auto" w:sz="4" w:space="0"/>
            </w:tcBorders>
            <w:noWrap/>
            <w:vAlign w:val="center"/>
          </w:tcPr>
          <w:p w14:paraId="4B24F4D1">
            <w:pPr>
              <w:ind w:firstLine="0" w:firstLineChars="0"/>
              <w:rPr>
                <w:rFonts w:hint="eastAsia" w:ascii="仿宋_GB2312" w:hAnsi="仿宋_GB2312" w:eastAsia="仿宋_GB2312" w:cs="仿宋_GB2312"/>
                <w:sz w:val="24"/>
                <w:szCs w:val="24"/>
                <w:highlight w:val="none"/>
              </w:rPr>
            </w:pPr>
          </w:p>
        </w:tc>
        <w:tc>
          <w:tcPr>
            <w:tcW w:w="821" w:type="dxa"/>
            <w:tcBorders>
              <w:top w:val="nil"/>
              <w:left w:val="nil"/>
              <w:bottom w:val="single" w:color="auto" w:sz="4" w:space="0"/>
              <w:right w:val="single" w:color="auto" w:sz="4" w:space="0"/>
            </w:tcBorders>
            <w:noWrap/>
            <w:vAlign w:val="center"/>
          </w:tcPr>
          <w:p w14:paraId="63D0D5C2">
            <w:pPr>
              <w:ind w:firstLine="0" w:firstLineChars="0"/>
              <w:rPr>
                <w:rFonts w:hint="eastAsia" w:ascii="仿宋_GB2312" w:hAnsi="仿宋_GB2312" w:eastAsia="仿宋_GB2312" w:cs="仿宋_GB2312"/>
                <w:sz w:val="24"/>
                <w:szCs w:val="24"/>
                <w:highlight w:val="none"/>
              </w:rPr>
            </w:pPr>
          </w:p>
        </w:tc>
      </w:tr>
      <w:tr w14:paraId="482D0D75">
        <w:tblPrEx>
          <w:tblCellMar>
            <w:top w:w="0" w:type="dxa"/>
            <w:left w:w="28" w:type="dxa"/>
            <w:bottom w:w="0" w:type="dxa"/>
            <w:right w:w="28" w:type="dxa"/>
          </w:tblCellMar>
        </w:tblPrEx>
        <w:trPr>
          <w:trHeight w:val="619" w:hRule="atLeast"/>
        </w:trPr>
        <w:tc>
          <w:tcPr>
            <w:tcW w:w="566" w:type="dxa"/>
            <w:tcBorders>
              <w:top w:val="nil"/>
              <w:left w:val="single" w:color="auto" w:sz="4" w:space="0"/>
              <w:bottom w:val="single" w:color="auto" w:sz="4" w:space="0"/>
              <w:right w:val="single" w:color="auto" w:sz="4" w:space="0"/>
            </w:tcBorders>
            <w:noWrap/>
            <w:vAlign w:val="center"/>
          </w:tcPr>
          <w:p w14:paraId="2B687905">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w:t>
            </w:r>
          </w:p>
        </w:tc>
        <w:tc>
          <w:tcPr>
            <w:tcW w:w="1641" w:type="dxa"/>
            <w:tcBorders>
              <w:top w:val="nil"/>
              <w:left w:val="nil"/>
              <w:bottom w:val="single" w:color="auto" w:sz="4" w:space="0"/>
              <w:right w:val="single" w:color="auto" w:sz="4" w:space="0"/>
            </w:tcBorders>
            <w:vAlign w:val="center"/>
          </w:tcPr>
          <w:p w14:paraId="61F77AA6">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工程设计费</w:t>
            </w:r>
          </w:p>
        </w:tc>
        <w:tc>
          <w:tcPr>
            <w:tcW w:w="2215" w:type="dxa"/>
            <w:tcBorders>
              <w:top w:val="single" w:color="auto" w:sz="4" w:space="0"/>
              <w:left w:val="nil"/>
              <w:bottom w:val="single" w:color="auto" w:sz="4" w:space="0"/>
              <w:right w:val="single" w:color="auto" w:sz="4" w:space="0"/>
            </w:tcBorders>
            <w:vAlign w:val="center"/>
          </w:tcPr>
          <w:p w14:paraId="6E29173B">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参照执行“计价格〔2002〕10号”标准，按50%计取（不考虑任何系数），暂按合同金额计列。</w:t>
            </w:r>
          </w:p>
        </w:tc>
        <w:tc>
          <w:tcPr>
            <w:tcW w:w="709" w:type="dxa"/>
            <w:tcBorders>
              <w:top w:val="nil"/>
              <w:left w:val="nil"/>
              <w:bottom w:val="single" w:color="auto" w:sz="4" w:space="0"/>
              <w:right w:val="single" w:color="auto" w:sz="4" w:space="0"/>
            </w:tcBorders>
            <w:noWrap/>
            <w:vAlign w:val="center"/>
          </w:tcPr>
          <w:p w14:paraId="396D25F9">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5.29</w:t>
            </w:r>
          </w:p>
        </w:tc>
        <w:tc>
          <w:tcPr>
            <w:tcW w:w="851" w:type="dxa"/>
            <w:tcBorders>
              <w:top w:val="nil"/>
              <w:left w:val="nil"/>
              <w:bottom w:val="single" w:color="auto" w:sz="4" w:space="0"/>
              <w:right w:val="single" w:color="auto" w:sz="4" w:space="0"/>
            </w:tcBorders>
            <w:noWrap/>
            <w:vAlign w:val="center"/>
          </w:tcPr>
          <w:p w14:paraId="2B569EE5">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5.29</w:t>
            </w:r>
          </w:p>
        </w:tc>
        <w:tc>
          <w:tcPr>
            <w:tcW w:w="567" w:type="dxa"/>
            <w:tcBorders>
              <w:top w:val="nil"/>
              <w:left w:val="nil"/>
              <w:bottom w:val="single" w:color="auto" w:sz="4" w:space="0"/>
              <w:right w:val="single" w:color="auto" w:sz="4" w:space="0"/>
            </w:tcBorders>
            <w:noWrap/>
            <w:vAlign w:val="center"/>
          </w:tcPr>
          <w:p w14:paraId="351A7E13">
            <w:pPr>
              <w:ind w:firstLine="0" w:firstLineChars="0"/>
              <w:rPr>
                <w:rFonts w:hint="eastAsia" w:ascii="仿宋_GB2312" w:hAnsi="仿宋_GB2312" w:eastAsia="仿宋_GB2312" w:cs="仿宋_GB2312"/>
                <w:sz w:val="24"/>
                <w:szCs w:val="24"/>
                <w:highlight w:val="none"/>
              </w:rPr>
            </w:pPr>
          </w:p>
        </w:tc>
        <w:tc>
          <w:tcPr>
            <w:tcW w:w="992" w:type="dxa"/>
            <w:tcBorders>
              <w:top w:val="nil"/>
              <w:left w:val="nil"/>
              <w:bottom w:val="single" w:color="auto" w:sz="4" w:space="0"/>
              <w:right w:val="single" w:color="auto" w:sz="4" w:space="0"/>
            </w:tcBorders>
            <w:noWrap/>
            <w:vAlign w:val="center"/>
          </w:tcPr>
          <w:p w14:paraId="5463724C">
            <w:pPr>
              <w:ind w:firstLine="0" w:firstLineChars="0"/>
              <w:rPr>
                <w:rFonts w:hint="eastAsia" w:ascii="仿宋_GB2312" w:hAnsi="仿宋_GB2312" w:eastAsia="仿宋_GB2312" w:cs="仿宋_GB2312"/>
                <w:sz w:val="24"/>
                <w:szCs w:val="24"/>
                <w:highlight w:val="none"/>
              </w:rPr>
            </w:pPr>
          </w:p>
        </w:tc>
        <w:tc>
          <w:tcPr>
            <w:tcW w:w="821" w:type="dxa"/>
            <w:tcBorders>
              <w:top w:val="nil"/>
              <w:left w:val="nil"/>
              <w:bottom w:val="single" w:color="auto" w:sz="4" w:space="0"/>
              <w:right w:val="single" w:color="auto" w:sz="4" w:space="0"/>
            </w:tcBorders>
            <w:noWrap/>
            <w:vAlign w:val="center"/>
          </w:tcPr>
          <w:p w14:paraId="0624ADD2">
            <w:pPr>
              <w:ind w:firstLine="0" w:firstLineChars="0"/>
              <w:rPr>
                <w:rFonts w:hint="eastAsia" w:ascii="仿宋_GB2312" w:hAnsi="仿宋_GB2312" w:eastAsia="仿宋_GB2312" w:cs="仿宋_GB2312"/>
                <w:sz w:val="24"/>
                <w:szCs w:val="24"/>
                <w:highlight w:val="none"/>
              </w:rPr>
            </w:pPr>
          </w:p>
        </w:tc>
      </w:tr>
      <w:tr w14:paraId="51F2AF9A">
        <w:tblPrEx>
          <w:tblCellMar>
            <w:top w:w="0" w:type="dxa"/>
            <w:left w:w="28" w:type="dxa"/>
            <w:bottom w:w="0" w:type="dxa"/>
            <w:right w:w="28" w:type="dxa"/>
          </w:tblCellMar>
        </w:tblPrEx>
        <w:trPr>
          <w:trHeight w:val="439" w:hRule="atLeast"/>
        </w:trPr>
        <w:tc>
          <w:tcPr>
            <w:tcW w:w="566" w:type="dxa"/>
            <w:tcBorders>
              <w:top w:val="nil"/>
              <w:left w:val="single" w:color="auto" w:sz="4" w:space="0"/>
              <w:bottom w:val="single" w:color="auto" w:sz="4" w:space="0"/>
              <w:right w:val="single" w:color="auto" w:sz="4" w:space="0"/>
            </w:tcBorders>
            <w:noWrap/>
            <w:vAlign w:val="center"/>
          </w:tcPr>
          <w:p w14:paraId="036A15E1">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w:t>
            </w:r>
          </w:p>
        </w:tc>
        <w:tc>
          <w:tcPr>
            <w:tcW w:w="1641" w:type="dxa"/>
            <w:tcBorders>
              <w:top w:val="nil"/>
              <w:left w:val="nil"/>
              <w:bottom w:val="single" w:color="auto" w:sz="4" w:space="0"/>
              <w:right w:val="single" w:color="auto" w:sz="4" w:space="0"/>
            </w:tcBorders>
            <w:vAlign w:val="center"/>
          </w:tcPr>
          <w:p w14:paraId="17D5FA16">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施工图预算编制费</w:t>
            </w:r>
          </w:p>
        </w:tc>
        <w:tc>
          <w:tcPr>
            <w:tcW w:w="2215" w:type="dxa"/>
            <w:tcBorders>
              <w:top w:val="single" w:color="auto" w:sz="4" w:space="0"/>
              <w:left w:val="nil"/>
              <w:bottom w:val="single" w:color="auto" w:sz="4" w:space="0"/>
              <w:right w:val="single" w:color="auto" w:sz="4" w:space="0"/>
            </w:tcBorders>
            <w:noWrap/>
            <w:vAlign w:val="center"/>
          </w:tcPr>
          <w:p w14:paraId="06E7CAF4">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参照执行“计价格〔2002〕10号”标准</w:t>
            </w:r>
          </w:p>
        </w:tc>
        <w:tc>
          <w:tcPr>
            <w:tcW w:w="709" w:type="dxa"/>
            <w:tcBorders>
              <w:top w:val="nil"/>
              <w:left w:val="nil"/>
              <w:bottom w:val="single" w:color="auto" w:sz="4" w:space="0"/>
              <w:right w:val="single" w:color="auto" w:sz="4" w:space="0"/>
            </w:tcBorders>
            <w:noWrap/>
            <w:vAlign w:val="center"/>
          </w:tcPr>
          <w:p w14:paraId="0561A585">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1.01</w:t>
            </w:r>
          </w:p>
        </w:tc>
        <w:tc>
          <w:tcPr>
            <w:tcW w:w="851" w:type="dxa"/>
            <w:tcBorders>
              <w:top w:val="nil"/>
              <w:left w:val="nil"/>
              <w:bottom w:val="single" w:color="auto" w:sz="4" w:space="0"/>
              <w:right w:val="single" w:color="auto" w:sz="4" w:space="0"/>
            </w:tcBorders>
            <w:noWrap/>
            <w:vAlign w:val="center"/>
          </w:tcPr>
          <w:p w14:paraId="0E179F9C">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1.01</w:t>
            </w:r>
          </w:p>
        </w:tc>
        <w:tc>
          <w:tcPr>
            <w:tcW w:w="567" w:type="dxa"/>
            <w:tcBorders>
              <w:top w:val="nil"/>
              <w:left w:val="nil"/>
              <w:bottom w:val="single" w:color="auto" w:sz="4" w:space="0"/>
              <w:right w:val="single" w:color="auto" w:sz="4" w:space="0"/>
            </w:tcBorders>
            <w:noWrap/>
            <w:vAlign w:val="center"/>
          </w:tcPr>
          <w:p w14:paraId="3B52D14E">
            <w:pPr>
              <w:ind w:firstLine="0" w:firstLineChars="0"/>
              <w:rPr>
                <w:rFonts w:hint="eastAsia" w:ascii="仿宋_GB2312" w:hAnsi="仿宋_GB2312" w:eastAsia="仿宋_GB2312" w:cs="仿宋_GB2312"/>
                <w:sz w:val="24"/>
                <w:szCs w:val="24"/>
                <w:highlight w:val="none"/>
              </w:rPr>
            </w:pPr>
          </w:p>
        </w:tc>
        <w:tc>
          <w:tcPr>
            <w:tcW w:w="992" w:type="dxa"/>
            <w:tcBorders>
              <w:top w:val="nil"/>
              <w:left w:val="nil"/>
              <w:bottom w:val="single" w:color="auto" w:sz="4" w:space="0"/>
              <w:right w:val="single" w:color="auto" w:sz="4" w:space="0"/>
            </w:tcBorders>
            <w:noWrap/>
            <w:vAlign w:val="center"/>
          </w:tcPr>
          <w:p w14:paraId="73346890">
            <w:pPr>
              <w:ind w:firstLine="0" w:firstLineChars="0"/>
              <w:rPr>
                <w:rFonts w:hint="eastAsia" w:ascii="仿宋_GB2312" w:hAnsi="仿宋_GB2312" w:eastAsia="仿宋_GB2312" w:cs="仿宋_GB2312"/>
                <w:sz w:val="24"/>
                <w:szCs w:val="24"/>
                <w:highlight w:val="none"/>
              </w:rPr>
            </w:pPr>
          </w:p>
        </w:tc>
        <w:tc>
          <w:tcPr>
            <w:tcW w:w="821" w:type="dxa"/>
            <w:tcBorders>
              <w:top w:val="nil"/>
              <w:left w:val="nil"/>
              <w:bottom w:val="single" w:color="auto" w:sz="4" w:space="0"/>
              <w:right w:val="single" w:color="auto" w:sz="4" w:space="0"/>
            </w:tcBorders>
            <w:noWrap/>
            <w:vAlign w:val="center"/>
          </w:tcPr>
          <w:p w14:paraId="3C9C443D">
            <w:pPr>
              <w:ind w:firstLine="0" w:firstLineChars="0"/>
              <w:rPr>
                <w:rFonts w:hint="eastAsia" w:ascii="仿宋_GB2312" w:hAnsi="仿宋_GB2312" w:eastAsia="仿宋_GB2312" w:cs="仿宋_GB2312"/>
                <w:sz w:val="24"/>
                <w:szCs w:val="24"/>
                <w:highlight w:val="none"/>
              </w:rPr>
            </w:pPr>
          </w:p>
        </w:tc>
      </w:tr>
      <w:tr w14:paraId="75D5AF76">
        <w:tblPrEx>
          <w:tblCellMar>
            <w:top w:w="0" w:type="dxa"/>
            <w:left w:w="28" w:type="dxa"/>
            <w:bottom w:w="0" w:type="dxa"/>
            <w:right w:w="28" w:type="dxa"/>
          </w:tblCellMar>
        </w:tblPrEx>
        <w:trPr>
          <w:trHeight w:val="540" w:hRule="atLeast"/>
        </w:trPr>
        <w:tc>
          <w:tcPr>
            <w:tcW w:w="566" w:type="dxa"/>
            <w:tcBorders>
              <w:top w:val="nil"/>
              <w:left w:val="single" w:color="auto" w:sz="4" w:space="0"/>
              <w:bottom w:val="single" w:color="auto" w:sz="4" w:space="0"/>
              <w:right w:val="single" w:color="auto" w:sz="4" w:space="0"/>
            </w:tcBorders>
            <w:noWrap/>
            <w:vAlign w:val="center"/>
          </w:tcPr>
          <w:p w14:paraId="66477FCF">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4</w:t>
            </w:r>
          </w:p>
        </w:tc>
        <w:tc>
          <w:tcPr>
            <w:tcW w:w="1641" w:type="dxa"/>
            <w:tcBorders>
              <w:top w:val="nil"/>
              <w:left w:val="nil"/>
              <w:bottom w:val="single" w:color="auto" w:sz="4" w:space="0"/>
              <w:right w:val="single" w:color="auto" w:sz="4" w:space="0"/>
            </w:tcBorders>
            <w:vAlign w:val="center"/>
          </w:tcPr>
          <w:p w14:paraId="5FFF125F">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工程勘察含测量费</w:t>
            </w:r>
          </w:p>
        </w:tc>
        <w:tc>
          <w:tcPr>
            <w:tcW w:w="2215" w:type="dxa"/>
            <w:tcBorders>
              <w:top w:val="single" w:color="auto" w:sz="4" w:space="0"/>
              <w:left w:val="nil"/>
              <w:bottom w:val="single" w:color="auto" w:sz="4" w:space="0"/>
              <w:right w:val="single" w:color="auto" w:sz="4" w:space="0"/>
            </w:tcBorders>
            <w:vAlign w:val="center"/>
          </w:tcPr>
          <w:p w14:paraId="5770AF1C">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按照合同约定，暂按工程费的5.6‰，并考虑外业见证费用。暂按2万元计列，后期根据合同约定按照实务工作量据实结算。</w:t>
            </w:r>
          </w:p>
        </w:tc>
        <w:tc>
          <w:tcPr>
            <w:tcW w:w="709" w:type="dxa"/>
            <w:tcBorders>
              <w:top w:val="nil"/>
              <w:left w:val="nil"/>
              <w:bottom w:val="single" w:color="auto" w:sz="4" w:space="0"/>
              <w:right w:val="single" w:color="auto" w:sz="4" w:space="0"/>
            </w:tcBorders>
            <w:noWrap/>
            <w:vAlign w:val="center"/>
          </w:tcPr>
          <w:p w14:paraId="18FAB4E5">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2.00</w:t>
            </w:r>
          </w:p>
        </w:tc>
        <w:tc>
          <w:tcPr>
            <w:tcW w:w="851" w:type="dxa"/>
            <w:tcBorders>
              <w:top w:val="nil"/>
              <w:left w:val="nil"/>
              <w:bottom w:val="single" w:color="auto" w:sz="4" w:space="0"/>
              <w:right w:val="single" w:color="auto" w:sz="4" w:space="0"/>
            </w:tcBorders>
            <w:noWrap/>
            <w:vAlign w:val="center"/>
          </w:tcPr>
          <w:p w14:paraId="64FA61FF">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2.00</w:t>
            </w:r>
          </w:p>
        </w:tc>
        <w:tc>
          <w:tcPr>
            <w:tcW w:w="567" w:type="dxa"/>
            <w:tcBorders>
              <w:top w:val="nil"/>
              <w:left w:val="nil"/>
              <w:bottom w:val="single" w:color="auto" w:sz="4" w:space="0"/>
              <w:right w:val="single" w:color="auto" w:sz="4" w:space="0"/>
            </w:tcBorders>
            <w:noWrap/>
            <w:vAlign w:val="center"/>
          </w:tcPr>
          <w:p w14:paraId="748E654D">
            <w:pPr>
              <w:ind w:firstLine="0" w:firstLineChars="0"/>
              <w:rPr>
                <w:rFonts w:hint="eastAsia" w:ascii="仿宋_GB2312" w:hAnsi="仿宋_GB2312" w:eastAsia="仿宋_GB2312" w:cs="仿宋_GB2312"/>
                <w:sz w:val="24"/>
                <w:szCs w:val="24"/>
                <w:highlight w:val="none"/>
              </w:rPr>
            </w:pPr>
          </w:p>
        </w:tc>
        <w:tc>
          <w:tcPr>
            <w:tcW w:w="992" w:type="dxa"/>
            <w:tcBorders>
              <w:top w:val="nil"/>
              <w:left w:val="nil"/>
              <w:bottom w:val="single" w:color="auto" w:sz="4" w:space="0"/>
              <w:right w:val="single" w:color="auto" w:sz="4" w:space="0"/>
            </w:tcBorders>
            <w:noWrap/>
            <w:vAlign w:val="center"/>
          </w:tcPr>
          <w:p w14:paraId="15D129DF">
            <w:pPr>
              <w:ind w:firstLine="0" w:firstLineChars="0"/>
              <w:rPr>
                <w:rFonts w:hint="eastAsia" w:ascii="仿宋_GB2312" w:hAnsi="仿宋_GB2312" w:eastAsia="仿宋_GB2312" w:cs="仿宋_GB2312"/>
                <w:sz w:val="24"/>
                <w:szCs w:val="24"/>
                <w:highlight w:val="none"/>
              </w:rPr>
            </w:pPr>
          </w:p>
        </w:tc>
        <w:tc>
          <w:tcPr>
            <w:tcW w:w="821" w:type="dxa"/>
            <w:tcBorders>
              <w:top w:val="nil"/>
              <w:left w:val="nil"/>
              <w:bottom w:val="single" w:color="auto" w:sz="4" w:space="0"/>
              <w:right w:val="single" w:color="auto" w:sz="4" w:space="0"/>
            </w:tcBorders>
            <w:noWrap/>
            <w:vAlign w:val="center"/>
          </w:tcPr>
          <w:p w14:paraId="143FFCE6">
            <w:pPr>
              <w:ind w:firstLine="0" w:firstLineChars="0"/>
              <w:rPr>
                <w:rFonts w:hint="eastAsia" w:ascii="仿宋_GB2312" w:hAnsi="仿宋_GB2312" w:eastAsia="仿宋_GB2312" w:cs="仿宋_GB2312"/>
                <w:sz w:val="24"/>
                <w:szCs w:val="24"/>
                <w:highlight w:val="none"/>
              </w:rPr>
            </w:pPr>
          </w:p>
        </w:tc>
      </w:tr>
      <w:tr w14:paraId="2CD57491">
        <w:tblPrEx>
          <w:tblCellMar>
            <w:top w:w="0" w:type="dxa"/>
            <w:left w:w="28" w:type="dxa"/>
            <w:bottom w:w="0" w:type="dxa"/>
            <w:right w:w="28" w:type="dxa"/>
          </w:tblCellMar>
        </w:tblPrEx>
        <w:trPr>
          <w:trHeight w:val="642" w:hRule="atLeast"/>
        </w:trPr>
        <w:tc>
          <w:tcPr>
            <w:tcW w:w="566" w:type="dxa"/>
            <w:tcBorders>
              <w:top w:val="nil"/>
              <w:left w:val="single" w:color="auto" w:sz="4" w:space="0"/>
              <w:bottom w:val="single" w:color="auto" w:sz="4" w:space="0"/>
              <w:right w:val="single" w:color="auto" w:sz="4" w:space="0"/>
            </w:tcBorders>
            <w:noWrap/>
            <w:vAlign w:val="center"/>
          </w:tcPr>
          <w:p w14:paraId="21B92CA4">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5</w:t>
            </w:r>
          </w:p>
        </w:tc>
        <w:tc>
          <w:tcPr>
            <w:tcW w:w="1641" w:type="dxa"/>
            <w:tcBorders>
              <w:top w:val="nil"/>
              <w:left w:val="nil"/>
              <w:bottom w:val="single" w:color="auto" w:sz="4" w:space="0"/>
              <w:right w:val="single" w:color="auto" w:sz="4" w:space="0"/>
            </w:tcBorders>
            <w:vAlign w:val="center"/>
          </w:tcPr>
          <w:p w14:paraId="57F26346">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施工图审查费</w:t>
            </w:r>
          </w:p>
        </w:tc>
        <w:tc>
          <w:tcPr>
            <w:tcW w:w="2215" w:type="dxa"/>
            <w:tcBorders>
              <w:top w:val="single" w:color="auto" w:sz="4" w:space="0"/>
              <w:left w:val="nil"/>
              <w:bottom w:val="single" w:color="auto" w:sz="4" w:space="0"/>
              <w:right w:val="single" w:color="auto" w:sz="4" w:space="0"/>
            </w:tcBorders>
            <w:vAlign w:val="center"/>
          </w:tcPr>
          <w:p w14:paraId="08D74A27">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执行“赣价房字〔2000〕6号”标准，并按照“洪府发〔2004〕3号”的70%计取，最低费用5000元</w:t>
            </w:r>
          </w:p>
        </w:tc>
        <w:tc>
          <w:tcPr>
            <w:tcW w:w="709" w:type="dxa"/>
            <w:tcBorders>
              <w:top w:val="nil"/>
              <w:left w:val="nil"/>
              <w:bottom w:val="single" w:color="auto" w:sz="4" w:space="0"/>
              <w:right w:val="single" w:color="auto" w:sz="4" w:space="0"/>
            </w:tcBorders>
            <w:noWrap/>
            <w:vAlign w:val="center"/>
          </w:tcPr>
          <w:p w14:paraId="464465DA">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0.50</w:t>
            </w:r>
          </w:p>
        </w:tc>
        <w:tc>
          <w:tcPr>
            <w:tcW w:w="851" w:type="dxa"/>
            <w:tcBorders>
              <w:top w:val="nil"/>
              <w:left w:val="nil"/>
              <w:bottom w:val="single" w:color="auto" w:sz="4" w:space="0"/>
              <w:right w:val="single" w:color="auto" w:sz="4" w:space="0"/>
            </w:tcBorders>
            <w:noWrap/>
            <w:vAlign w:val="center"/>
          </w:tcPr>
          <w:p w14:paraId="49043210">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0.50</w:t>
            </w:r>
          </w:p>
        </w:tc>
        <w:tc>
          <w:tcPr>
            <w:tcW w:w="567" w:type="dxa"/>
            <w:tcBorders>
              <w:top w:val="nil"/>
              <w:left w:val="nil"/>
              <w:bottom w:val="single" w:color="auto" w:sz="4" w:space="0"/>
              <w:right w:val="single" w:color="auto" w:sz="4" w:space="0"/>
            </w:tcBorders>
            <w:noWrap/>
            <w:vAlign w:val="center"/>
          </w:tcPr>
          <w:p w14:paraId="41016FCC">
            <w:pPr>
              <w:ind w:firstLine="0" w:firstLineChars="0"/>
              <w:rPr>
                <w:rFonts w:hint="eastAsia" w:ascii="仿宋_GB2312" w:hAnsi="仿宋_GB2312" w:eastAsia="仿宋_GB2312" w:cs="仿宋_GB2312"/>
                <w:sz w:val="24"/>
                <w:szCs w:val="24"/>
                <w:highlight w:val="none"/>
              </w:rPr>
            </w:pPr>
          </w:p>
        </w:tc>
        <w:tc>
          <w:tcPr>
            <w:tcW w:w="992" w:type="dxa"/>
            <w:tcBorders>
              <w:top w:val="nil"/>
              <w:left w:val="nil"/>
              <w:bottom w:val="single" w:color="auto" w:sz="4" w:space="0"/>
              <w:right w:val="single" w:color="auto" w:sz="4" w:space="0"/>
            </w:tcBorders>
            <w:noWrap/>
            <w:vAlign w:val="center"/>
          </w:tcPr>
          <w:p w14:paraId="6F2AB2BC">
            <w:pPr>
              <w:ind w:firstLine="0" w:firstLineChars="0"/>
              <w:rPr>
                <w:rFonts w:hint="eastAsia" w:ascii="仿宋_GB2312" w:hAnsi="仿宋_GB2312" w:eastAsia="仿宋_GB2312" w:cs="仿宋_GB2312"/>
                <w:sz w:val="24"/>
                <w:szCs w:val="24"/>
                <w:highlight w:val="none"/>
              </w:rPr>
            </w:pPr>
          </w:p>
        </w:tc>
        <w:tc>
          <w:tcPr>
            <w:tcW w:w="821" w:type="dxa"/>
            <w:tcBorders>
              <w:top w:val="nil"/>
              <w:left w:val="nil"/>
              <w:bottom w:val="single" w:color="auto" w:sz="4" w:space="0"/>
              <w:right w:val="single" w:color="auto" w:sz="4" w:space="0"/>
            </w:tcBorders>
            <w:noWrap/>
            <w:vAlign w:val="center"/>
          </w:tcPr>
          <w:p w14:paraId="5417B707">
            <w:pPr>
              <w:ind w:firstLine="0" w:firstLineChars="0"/>
              <w:rPr>
                <w:rFonts w:hint="eastAsia" w:ascii="仿宋_GB2312" w:hAnsi="仿宋_GB2312" w:eastAsia="仿宋_GB2312" w:cs="仿宋_GB2312"/>
                <w:sz w:val="24"/>
                <w:szCs w:val="24"/>
                <w:highlight w:val="none"/>
              </w:rPr>
            </w:pPr>
          </w:p>
        </w:tc>
      </w:tr>
      <w:tr w14:paraId="2AA38B3C">
        <w:tblPrEx>
          <w:tblCellMar>
            <w:top w:w="0" w:type="dxa"/>
            <w:left w:w="28" w:type="dxa"/>
            <w:bottom w:w="0" w:type="dxa"/>
            <w:right w:w="28" w:type="dxa"/>
          </w:tblCellMar>
        </w:tblPrEx>
        <w:trPr>
          <w:trHeight w:val="582" w:hRule="atLeast"/>
        </w:trPr>
        <w:tc>
          <w:tcPr>
            <w:tcW w:w="566" w:type="dxa"/>
            <w:tcBorders>
              <w:top w:val="nil"/>
              <w:left w:val="single" w:color="auto" w:sz="4" w:space="0"/>
              <w:bottom w:val="single" w:color="auto" w:sz="4" w:space="0"/>
              <w:right w:val="single" w:color="auto" w:sz="4" w:space="0"/>
            </w:tcBorders>
            <w:noWrap/>
            <w:vAlign w:val="center"/>
          </w:tcPr>
          <w:p w14:paraId="13E59D2B">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6</w:t>
            </w:r>
          </w:p>
        </w:tc>
        <w:tc>
          <w:tcPr>
            <w:tcW w:w="1641" w:type="dxa"/>
            <w:tcBorders>
              <w:top w:val="nil"/>
              <w:left w:val="nil"/>
              <w:bottom w:val="single" w:color="auto" w:sz="4" w:space="0"/>
              <w:right w:val="single" w:color="auto" w:sz="4" w:space="0"/>
            </w:tcBorders>
            <w:vAlign w:val="center"/>
          </w:tcPr>
          <w:p w14:paraId="6ACB40D4">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招标代理服务费</w:t>
            </w:r>
          </w:p>
        </w:tc>
        <w:tc>
          <w:tcPr>
            <w:tcW w:w="2215" w:type="dxa"/>
            <w:tcBorders>
              <w:top w:val="single" w:color="auto" w:sz="4" w:space="0"/>
              <w:left w:val="nil"/>
              <w:bottom w:val="single" w:color="auto" w:sz="4" w:space="0"/>
              <w:right w:val="single" w:color="auto" w:sz="4" w:space="0"/>
            </w:tcBorders>
            <w:vAlign w:val="center"/>
          </w:tcPr>
          <w:p w14:paraId="1282E66D">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按计委计价格〔2002〕1980号文计算，下浮30%</w:t>
            </w:r>
          </w:p>
        </w:tc>
        <w:tc>
          <w:tcPr>
            <w:tcW w:w="709" w:type="dxa"/>
            <w:tcBorders>
              <w:top w:val="nil"/>
              <w:left w:val="nil"/>
              <w:bottom w:val="single" w:color="auto" w:sz="4" w:space="0"/>
              <w:right w:val="single" w:color="auto" w:sz="4" w:space="0"/>
            </w:tcBorders>
            <w:noWrap/>
            <w:vAlign w:val="center"/>
          </w:tcPr>
          <w:p w14:paraId="42CE9C2B">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3.00</w:t>
            </w:r>
          </w:p>
        </w:tc>
        <w:tc>
          <w:tcPr>
            <w:tcW w:w="851" w:type="dxa"/>
            <w:tcBorders>
              <w:top w:val="nil"/>
              <w:left w:val="nil"/>
              <w:bottom w:val="single" w:color="auto" w:sz="4" w:space="0"/>
              <w:right w:val="single" w:color="auto" w:sz="4" w:space="0"/>
            </w:tcBorders>
            <w:noWrap/>
            <w:vAlign w:val="center"/>
          </w:tcPr>
          <w:p w14:paraId="0B49FCC9">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3.00</w:t>
            </w:r>
          </w:p>
        </w:tc>
        <w:tc>
          <w:tcPr>
            <w:tcW w:w="567" w:type="dxa"/>
            <w:tcBorders>
              <w:top w:val="nil"/>
              <w:left w:val="nil"/>
              <w:bottom w:val="single" w:color="auto" w:sz="4" w:space="0"/>
              <w:right w:val="single" w:color="auto" w:sz="4" w:space="0"/>
            </w:tcBorders>
            <w:noWrap/>
            <w:vAlign w:val="center"/>
          </w:tcPr>
          <w:p w14:paraId="3073525C">
            <w:pPr>
              <w:ind w:firstLine="0" w:firstLineChars="0"/>
              <w:rPr>
                <w:rFonts w:hint="eastAsia" w:ascii="仿宋_GB2312" w:hAnsi="仿宋_GB2312" w:eastAsia="仿宋_GB2312" w:cs="仿宋_GB2312"/>
                <w:sz w:val="24"/>
                <w:szCs w:val="24"/>
                <w:highlight w:val="none"/>
              </w:rPr>
            </w:pPr>
          </w:p>
        </w:tc>
        <w:tc>
          <w:tcPr>
            <w:tcW w:w="992" w:type="dxa"/>
            <w:tcBorders>
              <w:top w:val="nil"/>
              <w:left w:val="nil"/>
              <w:bottom w:val="single" w:color="auto" w:sz="4" w:space="0"/>
              <w:right w:val="single" w:color="auto" w:sz="4" w:space="0"/>
            </w:tcBorders>
            <w:noWrap/>
            <w:vAlign w:val="center"/>
          </w:tcPr>
          <w:p w14:paraId="532B54C2">
            <w:pPr>
              <w:ind w:firstLine="0" w:firstLineChars="0"/>
              <w:rPr>
                <w:rFonts w:hint="eastAsia" w:ascii="仿宋_GB2312" w:hAnsi="仿宋_GB2312" w:eastAsia="仿宋_GB2312" w:cs="仿宋_GB2312"/>
                <w:sz w:val="24"/>
                <w:szCs w:val="24"/>
                <w:highlight w:val="none"/>
              </w:rPr>
            </w:pPr>
          </w:p>
        </w:tc>
        <w:tc>
          <w:tcPr>
            <w:tcW w:w="821" w:type="dxa"/>
            <w:tcBorders>
              <w:top w:val="nil"/>
              <w:left w:val="nil"/>
              <w:bottom w:val="single" w:color="auto" w:sz="4" w:space="0"/>
              <w:right w:val="single" w:color="auto" w:sz="4" w:space="0"/>
            </w:tcBorders>
            <w:noWrap/>
            <w:vAlign w:val="center"/>
          </w:tcPr>
          <w:p w14:paraId="405F7F4D">
            <w:pPr>
              <w:ind w:firstLine="0" w:firstLineChars="0"/>
              <w:rPr>
                <w:rFonts w:hint="eastAsia" w:ascii="仿宋_GB2312" w:hAnsi="仿宋_GB2312" w:eastAsia="仿宋_GB2312" w:cs="仿宋_GB2312"/>
                <w:sz w:val="24"/>
                <w:szCs w:val="24"/>
                <w:highlight w:val="none"/>
              </w:rPr>
            </w:pPr>
          </w:p>
        </w:tc>
      </w:tr>
      <w:tr w14:paraId="129AC84A">
        <w:tblPrEx>
          <w:tblCellMar>
            <w:top w:w="0" w:type="dxa"/>
            <w:left w:w="28" w:type="dxa"/>
            <w:bottom w:w="0" w:type="dxa"/>
            <w:right w:w="28" w:type="dxa"/>
          </w:tblCellMar>
        </w:tblPrEx>
        <w:trPr>
          <w:trHeight w:val="600" w:hRule="atLeast"/>
        </w:trPr>
        <w:tc>
          <w:tcPr>
            <w:tcW w:w="566" w:type="dxa"/>
            <w:tcBorders>
              <w:top w:val="nil"/>
              <w:left w:val="single" w:color="auto" w:sz="4" w:space="0"/>
              <w:bottom w:val="single" w:color="auto" w:sz="4" w:space="0"/>
              <w:right w:val="single" w:color="auto" w:sz="4" w:space="0"/>
            </w:tcBorders>
            <w:noWrap/>
            <w:vAlign w:val="center"/>
          </w:tcPr>
          <w:p w14:paraId="5F21439A">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7</w:t>
            </w:r>
          </w:p>
        </w:tc>
        <w:tc>
          <w:tcPr>
            <w:tcW w:w="1641" w:type="dxa"/>
            <w:tcBorders>
              <w:top w:val="nil"/>
              <w:left w:val="nil"/>
              <w:bottom w:val="single" w:color="auto" w:sz="4" w:space="0"/>
              <w:right w:val="single" w:color="auto" w:sz="4" w:space="0"/>
            </w:tcBorders>
            <w:vAlign w:val="center"/>
          </w:tcPr>
          <w:p w14:paraId="1A2B5DBD">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建设工程监理费</w:t>
            </w:r>
          </w:p>
        </w:tc>
        <w:tc>
          <w:tcPr>
            <w:tcW w:w="2215" w:type="dxa"/>
            <w:tcBorders>
              <w:top w:val="single" w:color="auto" w:sz="4" w:space="0"/>
              <w:left w:val="nil"/>
              <w:bottom w:val="single" w:color="auto" w:sz="4" w:space="0"/>
              <w:right w:val="single" w:color="auto" w:sz="4" w:space="0"/>
            </w:tcBorders>
            <w:vAlign w:val="center"/>
          </w:tcPr>
          <w:p w14:paraId="0CB7D9A1">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参考发改价格〔2007〕670号文，按50%计取（不考虑任何系数）</w:t>
            </w:r>
          </w:p>
        </w:tc>
        <w:tc>
          <w:tcPr>
            <w:tcW w:w="709" w:type="dxa"/>
            <w:tcBorders>
              <w:top w:val="nil"/>
              <w:left w:val="nil"/>
              <w:bottom w:val="single" w:color="auto" w:sz="4" w:space="0"/>
              <w:right w:val="single" w:color="auto" w:sz="4" w:space="0"/>
            </w:tcBorders>
            <w:noWrap/>
            <w:vAlign w:val="center"/>
          </w:tcPr>
          <w:p w14:paraId="0424B149">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3.20</w:t>
            </w:r>
          </w:p>
        </w:tc>
        <w:tc>
          <w:tcPr>
            <w:tcW w:w="851" w:type="dxa"/>
            <w:tcBorders>
              <w:top w:val="nil"/>
              <w:left w:val="nil"/>
              <w:bottom w:val="single" w:color="auto" w:sz="4" w:space="0"/>
              <w:right w:val="single" w:color="auto" w:sz="4" w:space="0"/>
            </w:tcBorders>
            <w:noWrap/>
            <w:vAlign w:val="center"/>
          </w:tcPr>
          <w:p w14:paraId="0EB1EF0D">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3.20</w:t>
            </w:r>
          </w:p>
        </w:tc>
        <w:tc>
          <w:tcPr>
            <w:tcW w:w="567" w:type="dxa"/>
            <w:tcBorders>
              <w:top w:val="nil"/>
              <w:left w:val="nil"/>
              <w:bottom w:val="single" w:color="auto" w:sz="4" w:space="0"/>
              <w:right w:val="single" w:color="auto" w:sz="4" w:space="0"/>
            </w:tcBorders>
            <w:noWrap/>
            <w:vAlign w:val="center"/>
          </w:tcPr>
          <w:p w14:paraId="5B2C7BAB">
            <w:pPr>
              <w:ind w:firstLine="0" w:firstLineChars="0"/>
              <w:rPr>
                <w:rFonts w:hint="eastAsia" w:ascii="仿宋_GB2312" w:hAnsi="仿宋_GB2312" w:eastAsia="仿宋_GB2312" w:cs="仿宋_GB2312"/>
                <w:sz w:val="24"/>
                <w:szCs w:val="24"/>
                <w:highlight w:val="none"/>
              </w:rPr>
            </w:pPr>
          </w:p>
        </w:tc>
        <w:tc>
          <w:tcPr>
            <w:tcW w:w="992" w:type="dxa"/>
            <w:tcBorders>
              <w:top w:val="nil"/>
              <w:left w:val="nil"/>
              <w:bottom w:val="single" w:color="auto" w:sz="4" w:space="0"/>
              <w:right w:val="single" w:color="auto" w:sz="4" w:space="0"/>
            </w:tcBorders>
            <w:noWrap/>
            <w:vAlign w:val="center"/>
          </w:tcPr>
          <w:p w14:paraId="549146EE">
            <w:pPr>
              <w:ind w:firstLine="0" w:firstLineChars="0"/>
              <w:rPr>
                <w:rFonts w:hint="eastAsia" w:ascii="仿宋_GB2312" w:hAnsi="仿宋_GB2312" w:eastAsia="仿宋_GB2312" w:cs="仿宋_GB2312"/>
                <w:sz w:val="24"/>
                <w:szCs w:val="24"/>
                <w:highlight w:val="none"/>
              </w:rPr>
            </w:pPr>
          </w:p>
        </w:tc>
        <w:tc>
          <w:tcPr>
            <w:tcW w:w="821" w:type="dxa"/>
            <w:tcBorders>
              <w:top w:val="nil"/>
              <w:left w:val="nil"/>
              <w:bottom w:val="single" w:color="auto" w:sz="4" w:space="0"/>
              <w:right w:val="single" w:color="auto" w:sz="4" w:space="0"/>
            </w:tcBorders>
            <w:noWrap/>
            <w:vAlign w:val="center"/>
          </w:tcPr>
          <w:p w14:paraId="645B034F">
            <w:pPr>
              <w:ind w:firstLine="0" w:firstLineChars="0"/>
              <w:rPr>
                <w:rFonts w:hint="eastAsia" w:ascii="仿宋_GB2312" w:hAnsi="仿宋_GB2312" w:eastAsia="仿宋_GB2312" w:cs="仿宋_GB2312"/>
                <w:sz w:val="24"/>
                <w:szCs w:val="24"/>
                <w:highlight w:val="none"/>
              </w:rPr>
            </w:pPr>
          </w:p>
        </w:tc>
      </w:tr>
      <w:tr w14:paraId="052FAFE4">
        <w:tblPrEx>
          <w:tblCellMar>
            <w:top w:w="0" w:type="dxa"/>
            <w:left w:w="28" w:type="dxa"/>
            <w:bottom w:w="0" w:type="dxa"/>
            <w:right w:w="28" w:type="dxa"/>
          </w:tblCellMar>
        </w:tblPrEx>
        <w:trPr>
          <w:trHeight w:val="439" w:hRule="atLeast"/>
        </w:trPr>
        <w:tc>
          <w:tcPr>
            <w:tcW w:w="566" w:type="dxa"/>
            <w:tcBorders>
              <w:top w:val="nil"/>
              <w:left w:val="single" w:color="auto" w:sz="4" w:space="0"/>
              <w:bottom w:val="single" w:color="auto" w:sz="4" w:space="0"/>
              <w:right w:val="single" w:color="auto" w:sz="4" w:space="0"/>
            </w:tcBorders>
            <w:noWrap/>
            <w:vAlign w:val="center"/>
          </w:tcPr>
          <w:p w14:paraId="57028983">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8</w:t>
            </w:r>
          </w:p>
        </w:tc>
        <w:tc>
          <w:tcPr>
            <w:tcW w:w="1641" w:type="dxa"/>
            <w:tcBorders>
              <w:top w:val="nil"/>
              <w:left w:val="nil"/>
              <w:bottom w:val="single" w:color="auto" w:sz="4" w:space="0"/>
              <w:right w:val="single" w:color="auto" w:sz="4" w:space="0"/>
            </w:tcBorders>
            <w:vAlign w:val="center"/>
          </w:tcPr>
          <w:p w14:paraId="17623D23">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水土保持</w:t>
            </w:r>
          </w:p>
        </w:tc>
        <w:tc>
          <w:tcPr>
            <w:tcW w:w="2215" w:type="dxa"/>
            <w:tcBorders>
              <w:top w:val="single" w:color="auto" w:sz="4" w:space="0"/>
              <w:left w:val="nil"/>
              <w:bottom w:val="single" w:color="auto" w:sz="4" w:space="0"/>
              <w:right w:val="single" w:color="auto" w:sz="4" w:space="0"/>
            </w:tcBorders>
            <w:noWrap/>
            <w:vAlign w:val="center"/>
          </w:tcPr>
          <w:p w14:paraId="2ED01353">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参考水保监〔2005〕22号文</w:t>
            </w:r>
          </w:p>
        </w:tc>
        <w:tc>
          <w:tcPr>
            <w:tcW w:w="709" w:type="dxa"/>
            <w:tcBorders>
              <w:top w:val="nil"/>
              <w:left w:val="nil"/>
              <w:bottom w:val="single" w:color="auto" w:sz="4" w:space="0"/>
              <w:right w:val="single" w:color="auto" w:sz="4" w:space="0"/>
            </w:tcBorders>
            <w:noWrap/>
            <w:vAlign w:val="center"/>
          </w:tcPr>
          <w:p w14:paraId="7F82260C">
            <w:pPr>
              <w:ind w:firstLine="0" w:firstLineChars="0"/>
              <w:rPr>
                <w:rFonts w:hint="eastAsia" w:ascii="仿宋_GB2312" w:hAnsi="仿宋_GB2312" w:eastAsia="仿宋_GB2312" w:cs="仿宋_GB2312"/>
                <w:sz w:val="24"/>
                <w:szCs w:val="24"/>
                <w:highlight w:val="none"/>
              </w:rPr>
            </w:pPr>
          </w:p>
        </w:tc>
        <w:tc>
          <w:tcPr>
            <w:tcW w:w="851" w:type="dxa"/>
            <w:tcBorders>
              <w:top w:val="nil"/>
              <w:left w:val="nil"/>
              <w:bottom w:val="single" w:color="auto" w:sz="4" w:space="0"/>
              <w:right w:val="single" w:color="auto" w:sz="4" w:space="0"/>
            </w:tcBorders>
            <w:noWrap/>
            <w:vAlign w:val="center"/>
          </w:tcPr>
          <w:p w14:paraId="3EFAA4D4">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3.58</w:t>
            </w:r>
          </w:p>
        </w:tc>
        <w:tc>
          <w:tcPr>
            <w:tcW w:w="567" w:type="dxa"/>
            <w:tcBorders>
              <w:top w:val="nil"/>
              <w:left w:val="nil"/>
              <w:bottom w:val="single" w:color="auto" w:sz="4" w:space="0"/>
              <w:right w:val="single" w:color="auto" w:sz="4" w:space="0"/>
            </w:tcBorders>
            <w:noWrap/>
            <w:vAlign w:val="center"/>
          </w:tcPr>
          <w:p w14:paraId="30922645">
            <w:pPr>
              <w:ind w:firstLine="0" w:firstLineChars="0"/>
              <w:rPr>
                <w:rFonts w:hint="eastAsia" w:ascii="仿宋_GB2312" w:hAnsi="仿宋_GB2312" w:eastAsia="仿宋_GB2312" w:cs="仿宋_GB2312"/>
                <w:sz w:val="24"/>
                <w:szCs w:val="24"/>
                <w:highlight w:val="none"/>
              </w:rPr>
            </w:pPr>
          </w:p>
        </w:tc>
        <w:tc>
          <w:tcPr>
            <w:tcW w:w="992" w:type="dxa"/>
            <w:tcBorders>
              <w:top w:val="nil"/>
              <w:left w:val="nil"/>
              <w:bottom w:val="single" w:color="auto" w:sz="4" w:space="0"/>
              <w:right w:val="single" w:color="auto" w:sz="4" w:space="0"/>
            </w:tcBorders>
            <w:noWrap/>
            <w:vAlign w:val="center"/>
          </w:tcPr>
          <w:p w14:paraId="71D2E2F4">
            <w:pPr>
              <w:ind w:firstLine="0" w:firstLineChars="0"/>
              <w:rPr>
                <w:rFonts w:hint="eastAsia" w:ascii="仿宋_GB2312" w:hAnsi="仿宋_GB2312" w:eastAsia="仿宋_GB2312" w:cs="仿宋_GB2312"/>
                <w:sz w:val="24"/>
                <w:szCs w:val="24"/>
                <w:highlight w:val="none"/>
              </w:rPr>
            </w:pPr>
          </w:p>
        </w:tc>
        <w:tc>
          <w:tcPr>
            <w:tcW w:w="821" w:type="dxa"/>
            <w:tcBorders>
              <w:top w:val="nil"/>
              <w:left w:val="nil"/>
              <w:bottom w:val="single" w:color="auto" w:sz="4" w:space="0"/>
              <w:right w:val="single" w:color="auto" w:sz="4" w:space="0"/>
            </w:tcBorders>
            <w:noWrap/>
            <w:vAlign w:val="center"/>
          </w:tcPr>
          <w:p w14:paraId="4259AC31">
            <w:pPr>
              <w:ind w:firstLine="0" w:firstLineChars="0"/>
              <w:rPr>
                <w:rFonts w:hint="eastAsia" w:ascii="仿宋_GB2312" w:hAnsi="仿宋_GB2312" w:eastAsia="仿宋_GB2312" w:cs="仿宋_GB2312"/>
                <w:sz w:val="24"/>
                <w:szCs w:val="24"/>
                <w:highlight w:val="none"/>
              </w:rPr>
            </w:pPr>
          </w:p>
        </w:tc>
      </w:tr>
      <w:tr w14:paraId="6E4D7404">
        <w:tblPrEx>
          <w:tblCellMar>
            <w:top w:w="0" w:type="dxa"/>
            <w:left w:w="28" w:type="dxa"/>
            <w:bottom w:w="0" w:type="dxa"/>
            <w:right w:w="28" w:type="dxa"/>
          </w:tblCellMar>
        </w:tblPrEx>
        <w:trPr>
          <w:trHeight w:val="439" w:hRule="atLeast"/>
        </w:trPr>
        <w:tc>
          <w:tcPr>
            <w:tcW w:w="566" w:type="dxa"/>
            <w:tcBorders>
              <w:top w:val="nil"/>
              <w:left w:val="single" w:color="auto" w:sz="4" w:space="0"/>
              <w:bottom w:val="single" w:color="auto" w:sz="4" w:space="0"/>
              <w:right w:val="single" w:color="auto" w:sz="4" w:space="0"/>
            </w:tcBorders>
            <w:noWrap/>
            <w:vAlign w:val="center"/>
          </w:tcPr>
          <w:p w14:paraId="117B7A60">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8.1</w:t>
            </w:r>
          </w:p>
        </w:tc>
        <w:tc>
          <w:tcPr>
            <w:tcW w:w="1641" w:type="dxa"/>
            <w:tcBorders>
              <w:top w:val="nil"/>
              <w:left w:val="nil"/>
              <w:bottom w:val="single" w:color="auto" w:sz="4" w:space="0"/>
              <w:right w:val="single" w:color="auto" w:sz="4" w:space="0"/>
            </w:tcBorders>
            <w:vAlign w:val="center"/>
          </w:tcPr>
          <w:p w14:paraId="49125F5C">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水土保持方案编制费</w:t>
            </w:r>
          </w:p>
        </w:tc>
        <w:tc>
          <w:tcPr>
            <w:tcW w:w="2215" w:type="dxa"/>
            <w:tcBorders>
              <w:top w:val="single" w:color="auto" w:sz="4" w:space="0"/>
              <w:left w:val="nil"/>
              <w:bottom w:val="single" w:color="auto" w:sz="4" w:space="0"/>
              <w:right w:val="single" w:color="auto" w:sz="4" w:space="0"/>
            </w:tcBorders>
            <w:noWrap/>
            <w:vAlign w:val="center"/>
          </w:tcPr>
          <w:p w14:paraId="60E125E2">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参考水保监〔2005〕22号文</w:t>
            </w:r>
          </w:p>
        </w:tc>
        <w:tc>
          <w:tcPr>
            <w:tcW w:w="709" w:type="dxa"/>
            <w:tcBorders>
              <w:top w:val="nil"/>
              <w:left w:val="nil"/>
              <w:bottom w:val="single" w:color="auto" w:sz="4" w:space="0"/>
              <w:right w:val="single" w:color="auto" w:sz="4" w:space="0"/>
            </w:tcBorders>
            <w:noWrap/>
            <w:vAlign w:val="center"/>
          </w:tcPr>
          <w:p w14:paraId="38774AA9">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1.37</w:t>
            </w:r>
          </w:p>
        </w:tc>
        <w:tc>
          <w:tcPr>
            <w:tcW w:w="851" w:type="dxa"/>
            <w:tcBorders>
              <w:top w:val="nil"/>
              <w:left w:val="nil"/>
              <w:bottom w:val="single" w:color="auto" w:sz="4" w:space="0"/>
              <w:right w:val="single" w:color="auto" w:sz="4" w:space="0"/>
            </w:tcBorders>
            <w:noWrap/>
            <w:vAlign w:val="center"/>
          </w:tcPr>
          <w:p w14:paraId="5377FD06">
            <w:pPr>
              <w:ind w:firstLine="0" w:firstLineChars="0"/>
              <w:rPr>
                <w:rFonts w:hint="eastAsia" w:ascii="仿宋_GB2312" w:hAnsi="仿宋_GB2312" w:eastAsia="仿宋_GB2312" w:cs="仿宋_GB2312"/>
                <w:sz w:val="24"/>
                <w:szCs w:val="24"/>
                <w:highlight w:val="none"/>
              </w:rPr>
            </w:pPr>
          </w:p>
        </w:tc>
        <w:tc>
          <w:tcPr>
            <w:tcW w:w="567" w:type="dxa"/>
            <w:tcBorders>
              <w:top w:val="nil"/>
              <w:left w:val="nil"/>
              <w:bottom w:val="single" w:color="auto" w:sz="4" w:space="0"/>
              <w:right w:val="single" w:color="auto" w:sz="4" w:space="0"/>
            </w:tcBorders>
            <w:noWrap/>
            <w:vAlign w:val="center"/>
          </w:tcPr>
          <w:p w14:paraId="3D32C1E5">
            <w:pPr>
              <w:ind w:firstLine="0" w:firstLineChars="0"/>
              <w:rPr>
                <w:rFonts w:hint="eastAsia" w:ascii="仿宋_GB2312" w:hAnsi="仿宋_GB2312" w:eastAsia="仿宋_GB2312" w:cs="仿宋_GB2312"/>
                <w:sz w:val="24"/>
                <w:szCs w:val="24"/>
                <w:highlight w:val="none"/>
              </w:rPr>
            </w:pPr>
          </w:p>
        </w:tc>
        <w:tc>
          <w:tcPr>
            <w:tcW w:w="992" w:type="dxa"/>
            <w:tcBorders>
              <w:top w:val="nil"/>
              <w:left w:val="nil"/>
              <w:bottom w:val="single" w:color="auto" w:sz="4" w:space="0"/>
              <w:right w:val="single" w:color="auto" w:sz="4" w:space="0"/>
            </w:tcBorders>
            <w:noWrap/>
            <w:vAlign w:val="center"/>
          </w:tcPr>
          <w:p w14:paraId="5F454B8D">
            <w:pPr>
              <w:ind w:firstLine="0" w:firstLineChars="0"/>
              <w:rPr>
                <w:rFonts w:hint="eastAsia" w:ascii="仿宋_GB2312" w:hAnsi="仿宋_GB2312" w:eastAsia="仿宋_GB2312" w:cs="仿宋_GB2312"/>
                <w:sz w:val="24"/>
                <w:szCs w:val="24"/>
                <w:highlight w:val="none"/>
              </w:rPr>
            </w:pPr>
          </w:p>
        </w:tc>
        <w:tc>
          <w:tcPr>
            <w:tcW w:w="821" w:type="dxa"/>
            <w:tcBorders>
              <w:top w:val="nil"/>
              <w:left w:val="nil"/>
              <w:bottom w:val="single" w:color="auto" w:sz="4" w:space="0"/>
              <w:right w:val="single" w:color="auto" w:sz="4" w:space="0"/>
            </w:tcBorders>
            <w:noWrap/>
            <w:vAlign w:val="center"/>
          </w:tcPr>
          <w:p w14:paraId="00704681">
            <w:pPr>
              <w:ind w:firstLine="0" w:firstLineChars="0"/>
              <w:rPr>
                <w:rFonts w:hint="eastAsia" w:ascii="仿宋_GB2312" w:hAnsi="仿宋_GB2312" w:eastAsia="仿宋_GB2312" w:cs="仿宋_GB2312"/>
                <w:sz w:val="24"/>
                <w:szCs w:val="24"/>
                <w:highlight w:val="none"/>
              </w:rPr>
            </w:pPr>
          </w:p>
        </w:tc>
      </w:tr>
      <w:tr w14:paraId="5FAA55E7">
        <w:tblPrEx>
          <w:tblCellMar>
            <w:top w:w="0" w:type="dxa"/>
            <w:left w:w="28" w:type="dxa"/>
            <w:bottom w:w="0" w:type="dxa"/>
            <w:right w:w="28" w:type="dxa"/>
          </w:tblCellMar>
        </w:tblPrEx>
        <w:trPr>
          <w:trHeight w:val="439" w:hRule="atLeast"/>
        </w:trPr>
        <w:tc>
          <w:tcPr>
            <w:tcW w:w="566" w:type="dxa"/>
            <w:tcBorders>
              <w:top w:val="nil"/>
              <w:left w:val="single" w:color="auto" w:sz="4" w:space="0"/>
              <w:bottom w:val="single" w:color="auto" w:sz="4" w:space="0"/>
              <w:right w:val="single" w:color="auto" w:sz="4" w:space="0"/>
            </w:tcBorders>
            <w:noWrap/>
            <w:vAlign w:val="center"/>
          </w:tcPr>
          <w:p w14:paraId="2C689D4A">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8.2</w:t>
            </w:r>
          </w:p>
        </w:tc>
        <w:tc>
          <w:tcPr>
            <w:tcW w:w="1641" w:type="dxa"/>
            <w:tcBorders>
              <w:top w:val="nil"/>
              <w:left w:val="nil"/>
              <w:bottom w:val="single" w:color="auto" w:sz="4" w:space="0"/>
              <w:right w:val="single" w:color="auto" w:sz="4" w:space="0"/>
            </w:tcBorders>
            <w:vAlign w:val="center"/>
          </w:tcPr>
          <w:p w14:paraId="4466EB30">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水土保持监测费</w:t>
            </w:r>
          </w:p>
        </w:tc>
        <w:tc>
          <w:tcPr>
            <w:tcW w:w="2215" w:type="dxa"/>
            <w:tcBorders>
              <w:top w:val="single" w:color="auto" w:sz="4" w:space="0"/>
              <w:left w:val="nil"/>
              <w:bottom w:val="single" w:color="auto" w:sz="4" w:space="0"/>
              <w:right w:val="single" w:color="auto" w:sz="4" w:space="0"/>
            </w:tcBorders>
            <w:noWrap/>
            <w:vAlign w:val="center"/>
          </w:tcPr>
          <w:p w14:paraId="3B5958F8">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参考水保监〔2005〕22号文</w:t>
            </w:r>
          </w:p>
        </w:tc>
        <w:tc>
          <w:tcPr>
            <w:tcW w:w="709" w:type="dxa"/>
            <w:tcBorders>
              <w:top w:val="nil"/>
              <w:left w:val="nil"/>
              <w:bottom w:val="single" w:color="auto" w:sz="4" w:space="0"/>
              <w:right w:val="single" w:color="auto" w:sz="4" w:space="0"/>
            </w:tcBorders>
            <w:noWrap/>
            <w:vAlign w:val="center"/>
          </w:tcPr>
          <w:p w14:paraId="6DB6F556">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1.10</w:t>
            </w:r>
          </w:p>
        </w:tc>
        <w:tc>
          <w:tcPr>
            <w:tcW w:w="851" w:type="dxa"/>
            <w:tcBorders>
              <w:top w:val="nil"/>
              <w:left w:val="nil"/>
              <w:bottom w:val="single" w:color="auto" w:sz="4" w:space="0"/>
              <w:right w:val="single" w:color="auto" w:sz="4" w:space="0"/>
            </w:tcBorders>
            <w:noWrap/>
            <w:vAlign w:val="center"/>
          </w:tcPr>
          <w:p w14:paraId="1EEEDCE1">
            <w:pPr>
              <w:ind w:firstLine="0" w:firstLineChars="0"/>
              <w:rPr>
                <w:rFonts w:hint="eastAsia" w:ascii="仿宋_GB2312" w:hAnsi="仿宋_GB2312" w:eastAsia="仿宋_GB2312" w:cs="仿宋_GB2312"/>
                <w:sz w:val="24"/>
                <w:szCs w:val="24"/>
                <w:highlight w:val="none"/>
              </w:rPr>
            </w:pPr>
          </w:p>
        </w:tc>
        <w:tc>
          <w:tcPr>
            <w:tcW w:w="567" w:type="dxa"/>
            <w:tcBorders>
              <w:top w:val="nil"/>
              <w:left w:val="nil"/>
              <w:bottom w:val="single" w:color="auto" w:sz="4" w:space="0"/>
              <w:right w:val="single" w:color="auto" w:sz="4" w:space="0"/>
            </w:tcBorders>
            <w:noWrap/>
            <w:vAlign w:val="center"/>
          </w:tcPr>
          <w:p w14:paraId="4C9C684C">
            <w:pPr>
              <w:ind w:firstLine="0" w:firstLineChars="0"/>
              <w:rPr>
                <w:rFonts w:hint="eastAsia" w:ascii="仿宋_GB2312" w:hAnsi="仿宋_GB2312" w:eastAsia="仿宋_GB2312" w:cs="仿宋_GB2312"/>
                <w:sz w:val="24"/>
                <w:szCs w:val="24"/>
                <w:highlight w:val="none"/>
              </w:rPr>
            </w:pPr>
          </w:p>
        </w:tc>
        <w:tc>
          <w:tcPr>
            <w:tcW w:w="992" w:type="dxa"/>
            <w:tcBorders>
              <w:top w:val="nil"/>
              <w:left w:val="nil"/>
              <w:bottom w:val="single" w:color="auto" w:sz="4" w:space="0"/>
              <w:right w:val="single" w:color="auto" w:sz="4" w:space="0"/>
            </w:tcBorders>
            <w:noWrap/>
            <w:vAlign w:val="center"/>
          </w:tcPr>
          <w:p w14:paraId="275A0D2B">
            <w:pPr>
              <w:ind w:firstLine="0" w:firstLineChars="0"/>
              <w:rPr>
                <w:rFonts w:hint="eastAsia" w:ascii="仿宋_GB2312" w:hAnsi="仿宋_GB2312" w:eastAsia="仿宋_GB2312" w:cs="仿宋_GB2312"/>
                <w:sz w:val="24"/>
                <w:szCs w:val="24"/>
                <w:highlight w:val="none"/>
              </w:rPr>
            </w:pPr>
          </w:p>
        </w:tc>
        <w:tc>
          <w:tcPr>
            <w:tcW w:w="821" w:type="dxa"/>
            <w:tcBorders>
              <w:top w:val="nil"/>
              <w:left w:val="nil"/>
              <w:bottom w:val="single" w:color="auto" w:sz="4" w:space="0"/>
              <w:right w:val="single" w:color="auto" w:sz="4" w:space="0"/>
            </w:tcBorders>
            <w:noWrap/>
            <w:vAlign w:val="center"/>
          </w:tcPr>
          <w:p w14:paraId="44B7F121">
            <w:pPr>
              <w:ind w:firstLine="0" w:firstLineChars="0"/>
              <w:rPr>
                <w:rFonts w:hint="eastAsia" w:ascii="仿宋_GB2312" w:hAnsi="仿宋_GB2312" w:eastAsia="仿宋_GB2312" w:cs="仿宋_GB2312"/>
                <w:sz w:val="24"/>
                <w:szCs w:val="24"/>
                <w:highlight w:val="none"/>
              </w:rPr>
            </w:pPr>
          </w:p>
        </w:tc>
      </w:tr>
      <w:tr w14:paraId="36A96DA7">
        <w:tblPrEx>
          <w:tblCellMar>
            <w:top w:w="0" w:type="dxa"/>
            <w:left w:w="28" w:type="dxa"/>
            <w:bottom w:w="0" w:type="dxa"/>
            <w:right w:w="28" w:type="dxa"/>
          </w:tblCellMar>
        </w:tblPrEx>
        <w:trPr>
          <w:trHeight w:val="439" w:hRule="atLeast"/>
        </w:trPr>
        <w:tc>
          <w:tcPr>
            <w:tcW w:w="566" w:type="dxa"/>
            <w:tcBorders>
              <w:top w:val="nil"/>
              <w:left w:val="single" w:color="auto" w:sz="4" w:space="0"/>
              <w:bottom w:val="single" w:color="auto" w:sz="4" w:space="0"/>
              <w:right w:val="single" w:color="auto" w:sz="4" w:space="0"/>
            </w:tcBorders>
            <w:noWrap/>
            <w:vAlign w:val="center"/>
          </w:tcPr>
          <w:p w14:paraId="24AE73BC">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8.3</w:t>
            </w:r>
          </w:p>
        </w:tc>
        <w:tc>
          <w:tcPr>
            <w:tcW w:w="1641" w:type="dxa"/>
            <w:tcBorders>
              <w:top w:val="nil"/>
              <w:left w:val="nil"/>
              <w:bottom w:val="single" w:color="auto" w:sz="4" w:space="0"/>
              <w:right w:val="single" w:color="auto" w:sz="4" w:space="0"/>
            </w:tcBorders>
            <w:vAlign w:val="center"/>
          </w:tcPr>
          <w:p w14:paraId="539AAD97">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水土保持设施竣工验收技术评估报告编制费</w:t>
            </w:r>
          </w:p>
        </w:tc>
        <w:tc>
          <w:tcPr>
            <w:tcW w:w="2215" w:type="dxa"/>
            <w:tcBorders>
              <w:top w:val="single" w:color="auto" w:sz="4" w:space="0"/>
              <w:left w:val="nil"/>
              <w:bottom w:val="single" w:color="auto" w:sz="4" w:space="0"/>
              <w:right w:val="single" w:color="auto" w:sz="4" w:space="0"/>
            </w:tcBorders>
            <w:noWrap/>
            <w:vAlign w:val="center"/>
          </w:tcPr>
          <w:p w14:paraId="70025FD5">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参考水保监〔2005〕22号文</w:t>
            </w:r>
          </w:p>
        </w:tc>
        <w:tc>
          <w:tcPr>
            <w:tcW w:w="709" w:type="dxa"/>
            <w:tcBorders>
              <w:top w:val="nil"/>
              <w:left w:val="nil"/>
              <w:bottom w:val="single" w:color="auto" w:sz="4" w:space="0"/>
              <w:right w:val="single" w:color="auto" w:sz="4" w:space="0"/>
            </w:tcBorders>
            <w:noWrap/>
            <w:vAlign w:val="center"/>
          </w:tcPr>
          <w:p w14:paraId="26235063">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0.46</w:t>
            </w:r>
          </w:p>
        </w:tc>
        <w:tc>
          <w:tcPr>
            <w:tcW w:w="851" w:type="dxa"/>
            <w:tcBorders>
              <w:top w:val="nil"/>
              <w:left w:val="nil"/>
              <w:bottom w:val="single" w:color="auto" w:sz="4" w:space="0"/>
              <w:right w:val="single" w:color="auto" w:sz="4" w:space="0"/>
            </w:tcBorders>
            <w:noWrap/>
            <w:vAlign w:val="center"/>
          </w:tcPr>
          <w:p w14:paraId="33CFAFEC">
            <w:pPr>
              <w:ind w:firstLine="0" w:firstLineChars="0"/>
              <w:rPr>
                <w:rFonts w:hint="eastAsia" w:ascii="仿宋_GB2312" w:hAnsi="仿宋_GB2312" w:eastAsia="仿宋_GB2312" w:cs="仿宋_GB2312"/>
                <w:sz w:val="24"/>
                <w:szCs w:val="24"/>
                <w:highlight w:val="none"/>
              </w:rPr>
            </w:pPr>
          </w:p>
        </w:tc>
        <w:tc>
          <w:tcPr>
            <w:tcW w:w="567" w:type="dxa"/>
            <w:tcBorders>
              <w:top w:val="nil"/>
              <w:left w:val="nil"/>
              <w:bottom w:val="single" w:color="auto" w:sz="4" w:space="0"/>
              <w:right w:val="single" w:color="auto" w:sz="4" w:space="0"/>
            </w:tcBorders>
            <w:noWrap/>
            <w:vAlign w:val="center"/>
          </w:tcPr>
          <w:p w14:paraId="419CAEED">
            <w:pPr>
              <w:ind w:firstLine="0" w:firstLineChars="0"/>
              <w:rPr>
                <w:rFonts w:hint="eastAsia" w:ascii="仿宋_GB2312" w:hAnsi="仿宋_GB2312" w:eastAsia="仿宋_GB2312" w:cs="仿宋_GB2312"/>
                <w:sz w:val="24"/>
                <w:szCs w:val="24"/>
                <w:highlight w:val="none"/>
              </w:rPr>
            </w:pPr>
          </w:p>
        </w:tc>
        <w:tc>
          <w:tcPr>
            <w:tcW w:w="992" w:type="dxa"/>
            <w:tcBorders>
              <w:top w:val="nil"/>
              <w:left w:val="nil"/>
              <w:bottom w:val="single" w:color="auto" w:sz="4" w:space="0"/>
              <w:right w:val="single" w:color="auto" w:sz="4" w:space="0"/>
            </w:tcBorders>
            <w:noWrap/>
            <w:vAlign w:val="center"/>
          </w:tcPr>
          <w:p w14:paraId="32EF8ACC">
            <w:pPr>
              <w:ind w:firstLine="0" w:firstLineChars="0"/>
              <w:rPr>
                <w:rFonts w:hint="eastAsia" w:ascii="仿宋_GB2312" w:hAnsi="仿宋_GB2312" w:eastAsia="仿宋_GB2312" w:cs="仿宋_GB2312"/>
                <w:sz w:val="24"/>
                <w:szCs w:val="24"/>
                <w:highlight w:val="none"/>
              </w:rPr>
            </w:pPr>
          </w:p>
        </w:tc>
        <w:tc>
          <w:tcPr>
            <w:tcW w:w="821" w:type="dxa"/>
            <w:tcBorders>
              <w:top w:val="nil"/>
              <w:left w:val="nil"/>
              <w:bottom w:val="single" w:color="auto" w:sz="4" w:space="0"/>
              <w:right w:val="single" w:color="auto" w:sz="4" w:space="0"/>
            </w:tcBorders>
            <w:noWrap/>
            <w:vAlign w:val="center"/>
          </w:tcPr>
          <w:p w14:paraId="2AAC7FA4">
            <w:pPr>
              <w:ind w:firstLine="0" w:firstLineChars="0"/>
              <w:rPr>
                <w:rFonts w:hint="eastAsia" w:ascii="仿宋_GB2312" w:hAnsi="仿宋_GB2312" w:eastAsia="仿宋_GB2312" w:cs="仿宋_GB2312"/>
                <w:sz w:val="24"/>
                <w:szCs w:val="24"/>
                <w:highlight w:val="none"/>
              </w:rPr>
            </w:pPr>
          </w:p>
        </w:tc>
      </w:tr>
      <w:tr w14:paraId="6CC37B92">
        <w:tblPrEx>
          <w:tblCellMar>
            <w:top w:w="0" w:type="dxa"/>
            <w:left w:w="28" w:type="dxa"/>
            <w:bottom w:w="0" w:type="dxa"/>
            <w:right w:w="28" w:type="dxa"/>
          </w:tblCellMar>
        </w:tblPrEx>
        <w:trPr>
          <w:trHeight w:val="439" w:hRule="atLeast"/>
        </w:trPr>
        <w:tc>
          <w:tcPr>
            <w:tcW w:w="566" w:type="dxa"/>
            <w:tcBorders>
              <w:top w:val="nil"/>
              <w:left w:val="single" w:color="auto" w:sz="4" w:space="0"/>
              <w:bottom w:val="single" w:color="auto" w:sz="4" w:space="0"/>
              <w:right w:val="single" w:color="auto" w:sz="4" w:space="0"/>
            </w:tcBorders>
            <w:noWrap/>
            <w:vAlign w:val="center"/>
          </w:tcPr>
          <w:p w14:paraId="1CE0668D">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8.4</w:t>
            </w:r>
          </w:p>
        </w:tc>
        <w:tc>
          <w:tcPr>
            <w:tcW w:w="1641" w:type="dxa"/>
            <w:tcBorders>
              <w:top w:val="nil"/>
              <w:left w:val="nil"/>
              <w:bottom w:val="single" w:color="auto" w:sz="4" w:space="0"/>
              <w:right w:val="single" w:color="auto" w:sz="4" w:space="0"/>
            </w:tcBorders>
            <w:vAlign w:val="center"/>
          </w:tcPr>
          <w:p w14:paraId="67CB029E">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水土保持补偿费</w:t>
            </w:r>
          </w:p>
        </w:tc>
        <w:tc>
          <w:tcPr>
            <w:tcW w:w="2215" w:type="dxa"/>
            <w:tcBorders>
              <w:top w:val="single" w:color="auto" w:sz="4" w:space="0"/>
              <w:left w:val="nil"/>
              <w:bottom w:val="single" w:color="auto" w:sz="4" w:space="0"/>
              <w:right w:val="single" w:color="auto" w:sz="4" w:space="0"/>
            </w:tcBorders>
            <w:noWrap/>
            <w:vAlign w:val="center"/>
          </w:tcPr>
          <w:p w14:paraId="7230479B">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按一平方0.8元计列</w:t>
            </w:r>
          </w:p>
        </w:tc>
        <w:tc>
          <w:tcPr>
            <w:tcW w:w="709" w:type="dxa"/>
            <w:tcBorders>
              <w:top w:val="nil"/>
              <w:left w:val="nil"/>
              <w:bottom w:val="single" w:color="auto" w:sz="4" w:space="0"/>
              <w:right w:val="single" w:color="auto" w:sz="4" w:space="0"/>
            </w:tcBorders>
            <w:noWrap/>
            <w:vAlign w:val="center"/>
          </w:tcPr>
          <w:p w14:paraId="4137E7D7">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0.66</w:t>
            </w:r>
          </w:p>
        </w:tc>
        <w:tc>
          <w:tcPr>
            <w:tcW w:w="851" w:type="dxa"/>
            <w:tcBorders>
              <w:top w:val="nil"/>
              <w:left w:val="nil"/>
              <w:bottom w:val="single" w:color="auto" w:sz="4" w:space="0"/>
              <w:right w:val="single" w:color="auto" w:sz="4" w:space="0"/>
            </w:tcBorders>
            <w:noWrap/>
            <w:vAlign w:val="center"/>
          </w:tcPr>
          <w:p w14:paraId="18C5F78D">
            <w:pPr>
              <w:ind w:firstLine="0" w:firstLineChars="0"/>
              <w:rPr>
                <w:rFonts w:hint="eastAsia" w:ascii="仿宋_GB2312" w:hAnsi="仿宋_GB2312" w:eastAsia="仿宋_GB2312" w:cs="仿宋_GB2312"/>
                <w:sz w:val="24"/>
                <w:szCs w:val="24"/>
                <w:highlight w:val="none"/>
              </w:rPr>
            </w:pPr>
          </w:p>
        </w:tc>
        <w:tc>
          <w:tcPr>
            <w:tcW w:w="567" w:type="dxa"/>
            <w:tcBorders>
              <w:top w:val="nil"/>
              <w:left w:val="nil"/>
              <w:bottom w:val="single" w:color="auto" w:sz="4" w:space="0"/>
              <w:right w:val="single" w:color="auto" w:sz="4" w:space="0"/>
            </w:tcBorders>
            <w:noWrap/>
            <w:vAlign w:val="center"/>
          </w:tcPr>
          <w:p w14:paraId="7DB6AAE5">
            <w:pPr>
              <w:ind w:firstLine="0" w:firstLineChars="0"/>
              <w:rPr>
                <w:rFonts w:hint="eastAsia" w:ascii="仿宋_GB2312" w:hAnsi="仿宋_GB2312" w:eastAsia="仿宋_GB2312" w:cs="仿宋_GB2312"/>
                <w:sz w:val="24"/>
                <w:szCs w:val="24"/>
                <w:highlight w:val="none"/>
              </w:rPr>
            </w:pPr>
          </w:p>
        </w:tc>
        <w:tc>
          <w:tcPr>
            <w:tcW w:w="992" w:type="dxa"/>
            <w:tcBorders>
              <w:top w:val="nil"/>
              <w:left w:val="nil"/>
              <w:bottom w:val="single" w:color="auto" w:sz="4" w:space="0"/>
              <w:right w:val="single" w:color="auto" w:sz="4" w:space="0"/>
            </w:tcBorders>
            <w:noWrap/>
            <w:vAlign w:val="center"/>
          </w:tcPr>
          <w:p w14:paraId="63C708C1">
            <w:pPr>
              <w:ind w:firstLine="0" w:firstLineChars="0"/>
              <w:rPr>
                <w:rFonts w:hint="eastAsia" w:ascii="仿宋_GB2312" w:hAnsi="仿宋_GB2312" w:eastAsia="仿宋_GB2312" w:cs="仿宋_GB2312"/>
                <w:sz w:val="24"/>
                <w:szCs w:val="24"/>
                <w:highlight w:val="none"/>
              </w:rPr>
            </w:pPr>
          </w:p>
        </w:tc>
        <w:tc>
          <w:tcPr>
            <w:tcW w:w="821" w:type="dxa"/>
            <w:tcBorders>
              <w:top w:val="nil"/>
              <w:left w:val="nil"/>
              <w:bottom w:val="single" w:color="auto" w:sz="4" w:space="0"/>
              <w:right w:val="single" w:color="auto" w:sz="4" w:space="0"/>
            </w:tcBorders>
            <w:noWrap/>
            <w:vAlign w:val="center"/>
          </w:tcPr>
          <w:p w14:paraId="65A7ADCD">
            <w:pPr>
              <w:ind w:firstLine="0" w:firstLineChars="0"/>
              <w:rPr>
                <w:rFonts w:hint="eastAsia" w:ascii="仿宋_GB2312" w:hAnsi="仿宋_GB2312" w:eastAsia="仿宋_GB2312" w:cs="仿宋_GB2312"/>
                <w:sz w:val="24"/>
                <w:szCs w:val="24"/>
                <w:highlight w:val="none"/>
              </w:rPr>
            </w:pPr>
          </w:p>
        </w:tc>
      </w:tr>
      <w:tr w14:paraId="6A16FAA4">
        <w:tblPrEx>
          <w:tblCellMar>
            <w:top w:w="0" w:type="dxa"/>
            <w:left w:w="28" w:type="dxa"/>
            <w:bottom w:w="0" w:type="dxa"/>
            <w:right w:w="28" w:type="dxa"/>
          </w:tblCellMar>
        </w:tblPrEx>
        <w:trPr>
          <w:trHeight w:val="439" w:hRule="atLeast"/>
        </w:trPr>
        <w:tc>
          <w:tcPr>
            <w:tcW w:w="566" w:type="dxa"/>
            <w:tcBorders>
              <w:top w:val="nil"/>
              <w:left w:val="single" w:color="auto" w:sz="4" w:space="0"/>
              <w:bottom w:val="single" w:color="auto" w:sz="4" w:space="0"/>
              <w:right w:val="single" w:color="auto" w:sz="4" w:space="0"/>
            </w:tcBorders>
            <w:noWrap/>
            <w:vAlign w:val="center"/>
          </w:tcPr>
          <w:p w14:paraId="226871AC">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9</w:t>
            </w:r>
          </w:p>
        </w:tc>
        <w:tc>
          <w:tcPr>
            <w:tcW w:w="1641" w:type="dxa"/>
            <w:tcBorders>
              <w:top w:val="nil"/>
              <w:left w:val="nil"/>
              <w:bottom w:val="single" w:color="auto" w:sz="4" w:space="0"/>
              <w:right w:val="single" w:color="auto" w:sz="4" w:space="0"/>
            </w:tcBorders>
            <w:vAlign w:val="center"/>
          </w:tcPr>
          <w:p w14:paraId="1BDDA10A">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检验检测费</w:t>
            </w:r>
          </w:p>
        </w:tc>
        <w:tc>
          <w:tcPr>
            <w:tcW w:w="2215" w:type="dxa"/>
            <w:tcBorders>
              <w:top w:val="single" w:color="auto" w:sz="4" w:space="0"/>
              <w:left w:val="nil"/>
              <w:bottom w:val="single" w:color="auto" w:sz="4" w:space="0"/>
              <w:right w:val="single" w:color="auto" w:sz="4" w:space="0"/>
            </w:tcBorders>
            <w:noWrap/>
            <w:vAlign w:val="center"/>
          </w:tcPr>
          <w:p w14:paraId="2077B009">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暂按建安工程费×0.5%估列</w:t>
            </w:r>
          </w:p>
        </w:tc>
        <w:tc>
          <w:tcPr>
            <w:tcW w:w="709" w:type="dxa"/>
            <w:tcBorders>
              <w:top w:val="nil"/>
              <w:left w:val="nil"/>
              <w:bottom w:val="single" w:color="auto" w:sz="4" w:space="0"/>
              <w:right w:val="single" w:color="auto" w:sz="4" w:space="0"/>
            </w:tcBorders>
            <w:vAlign w:val="center"/>
          </w:tcPr>
          <w:p w14:paraId="2AA913FA">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1.14</w:t>
            </w:r>
          </w:p>
        </w:tc>
        <w:tc>
          <w:tcPr>
            <w:tcW w:w="851" w:type="dxa"/>
            <w:tcBorders>
              <w:top w:val="nil"/>
              <w:left w:val="nil"/>
              <w:bottom w:val="single" w:color="auto" w:sz="4" w:space="0"/>
              <w:right w:val="single" w:color="auto" w:sz="4" w:space="0"/>
            </w:tcBorders>
            <w:noWrap/>
            <w:vAlign w:val="center"/>
          </w:tcPr>
          <w:p w14:paraId="337014F8">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1.14</w:t>
            </w:r>
          </w:p>
        </w:tc>
        <w:tc>
          <w:tcPr>
            <w:tcW w:w="567" w:type="dxa"/>
            <w:tcBorders>
              <w:top w:val="nil"/>
              <w:left w:val="nil"/>
              <w:bottom w:val="single" w:color="auto" w:sz="4" w:space="0"/>
              <w:right w:val="single" w:color="auto" w:sz="4" w:space="0"/>
            </w:tcBorders>
            <w:vAlign w:val="center"/>
          </w:tcPr>
          <w:p w14:paraId="6DE13BF1">
            <w:pPr>
              <w:ind w:firstLine="0" w:firstLineChars="0"/>
              <w:rPr>
                <w:rFonts w:hint="eastAsia" w:ascii="仿宋_GB2312" w:hAnsi="仿宋_GB2312" w:eastAsia="仿宋_GB2312" w:cs="仿宋_GB2312"/>
                <w:sz w:val="24"/>
                <w:szCs w:val="24"/>
                <w:highlight w:val="none"/>
              </w:rPr>
            </w:pPr>
          </w:p>
        </w:tc>
        <w:tc>
          <w:tcPr>
            <w:tcW w:w="992" w:type="dxa"/>
            <w:tcBorders>
              <w:top w:val="nil"/>
              <w:left w:val="nil"/>
              <w:bottom w:val="single" w:color="auto" w:sz="4" w:space="0"/>
              <w:right w:val="single" w:color="auto" w:sz="4" w:space="0"/>
            </w:tcBorders>
            <w:vAlign w:val="center"/>
          </w:tcPr>
          <w:p w14:paraId="74C5822F">
            <w:pPr>
              <w:ind w:firstLine="0" w:firstLineChars="0"/>
              <w:rPr>
                <w:rFonts w:hint="eastAsia" w:ascii="仿宋_GB2312" w:hAnsi="仿宋_GB2312" w:eastAsia="仿宋_GB2312" w:cs="仿宋_GB2312"/>
                <w:sz w:val="24"/>
                <w:szCs w:val="24"/>
                <w:highlight w:val="none"/>
              </w:rPr>
            </w:pPr>
          </w:p>
        </w:tc>
        <w:tc>
          <w:tcPr>
            <w:tcW w:w="821" w:type="dxa"/>
            <w:tcBorders>
              <w:top w:val="nil"/>
              <w:left w:val="nil"/>
              <w:bottom w:val="single" w:color="auto" w:sz="4" w:space="0"/>
              <w:right w:val="single" w:color="auto" w:sz="4" w:space="0"/>
            </w:tcBorders>
            <w:vAlign w:val="center"/>
          </w:tcPr>
          <w:p w14:paraId="58204C2B">
            <w:pPr>
              <w:ind w:firstLine="0" w:firstLineChars="0"/>
              <w:rPr>
                <w:rFonts w:hint="eastAsia" w:ascii="仿宋_GB2312" w:hAnsi="仿宋_GB2312" w:eastAsia="仿宋_GB2312" w:cs="仿宋_GB2312"/>
                <w:sz w:val="24"/>
                <w:szCs w:val="24"/>
                <w:highlight w:val="none"/>
              </w:rPr>
            </w:pPr>
          </w:p>
        </w:tc>
      </w:tr>
      <w:tr w14:paraId="4119EE76">
        <w:tblPrEx>
          <w:tblCellMar>
            <w:top w:w="0" w:type="dxa"/>
            <w:left w:w="28" w:type="dxa"/>
            <w:bottom w:w="0" w:type="dxa"/>
            <w:right w:w="28" w:type="dxa"/>
          </w:tblCellMar>
        </w:tblPrEx>
        <w:trPr>
          <w:trHeight w:val="439" w:hRule="atLeast"/>
        </w:trPr>
        <w:tc>
          <w:tcPr>
            <w:tcW w:w="566" w:type="dxa"/>
            <w:tcBorders>
              <w:top w:val="nil"/>
              <w:left w:val="single" w:color="auto" w:sz="4" w:space="0"/>
              <w:bottom w:val="single" w:color="auto" w:sz="4" w:space="0"/>
              <w:right w:val="single" w:color="auto" w:sz="4" w:space="0"/>
            </w:tcBorders>
            <w:noWrap/>
            <w:vAlign w:val="center"/>
          </w:tcPr>
          <w:p w14:paraId="0E9A4A6F">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10</w:t>
            </w:r>
          </w:p>
        </w:tc>
        <w:tc>
          <w:tcPr>
            <w:tcW w:w="1641" w:type="dxa"/>
            <w:tcBorders>
              <w:top w:val="nil"/>
              <w:left w:val="nil"/>
              <w:bottom w:val="single" w:color="auto" w:sz="4" w:space="0"/>
              <w:right w:val="single" w:color="auto" w:sz="4" w:space="0"/>
            </w:tcBorders>
            <w:vAlign w:val="center"/>
          </w:tcPr>
          <w:p w14:paraId="50264A88">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社会稳定风险编制及评估费</w:t>
            </w:r>
          </w:p>
        </w:tc>
        <w:tc>
          <w:tcPr>
            <w:tcW w:w="2215" w:type="dxa"/>
            <w:tcBorders>
              <w:top w:val="single" w:color="auto" w:sz="4" w:space="0"/>
              <w:left w:val="nil"/>
              <w:bottom w:val="single" w:color="auto" w:sz="4" w:space="0"/>
              <w:right w:val="single" w:color="auto" w:sz="4" w:space="0"/>
            </w:tcBorders>
            <w:noWrap/>
            <w:vAlign w:val="center"/>
          </w:tcPr>
          <w:p w14:paraId="680624D0">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参考沪发改投〔2012〕130号文，暂估列</w:t>
            </w:r>
          </w:p>
        </w:tc>
        <w:tc>
          <w:tcPr>
            <w:tcW w:w="709" w:type="dxa"/>
            <w:tcBorders>
              <w:top w:val="nil"/>
              <w:left w:val="nil"/>
              <w:bottom w:val="single" w:color="auto" w:sz="4" w:space="0"/>
              <w:right w:val="single" w:color="auto" w:sz="4" w:space="0"/>
            </w:tcBorders>
            <w:vAlign w:val="center"/>
          </w:tcPr>
          <w:p w14:paraId="4EBF1E7F">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4.00</w:t>
            </w:r>
          </w:p>
        </w:tc>
        <w:tc>
          <w:tcPr>
            <w:tcW w:w="851" w:type="dxa"/>
            <w:tcBorders>
              <w:top w:val="nil"/>
              <w:left w:val="nil"/>
              <w:bottom w:val="single" w:color="auto" w:sz="4" w:space="0"/>
              <w:right w:val="single" w:color="auto" w:sz="4" w:space="0"/>
            </w:tcBorders>
            <w:noWrap/>
            <w:vAlign w:val="center"/>
          </w:tcPr>
          <w:p w14:paraId="1501CD4C">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4.00</w:t>
            </w:r>
          </w:p>
        </w:tc>
        <w:tc>
          <w:tcPr>
            <w:tcW w:w="567" w:type="dxa"/>
            <w:tcBorders>
              <w:top w:val="nil"/>
              <w:left w:val="nil"/>
              <w:bottom w:val="single" w:color="auto" w:sz="4" w:space="0"/>
              <w:right w:val="single" w:color="auto" w:sz="4" w:space="0"/>
            </w:tcBorders>
            <w:vAlign w:val="center"/>
          </w:tcPr>
          <w:p w14:paraId="012DAA50">
            <w:pPr>
              <w:ind w:firstLine="0" w:firstLineChars="0"/>
              <w:rPr>
                <w:rFonts w:hint="eastAsia" w:ascii="仿宋_GB2312" w:hAnsi="仿宋_GB2312" w:eastAsia="仿宋_GB2312" w:cs="仿宋_GB2312"/>
                <w:sz w:val="24"/>
                <w:szCs w:val="24"/>
                <w:highlight w:val="none"/>
              </w:rPr>
            </w:pPr>
          </w:p>
        </w:tc>
        <w:tc>
          <w:tcPr>
            <w:tcW w:w="992" w:type="dxa"/>
            <w:tcBorders>
              <w:top w:val="nil"/>
              <w:left w:val="nil"/>
              <w:bottom w:val="single" w:color="auto" w:sz="4" w:space="0"/>
              <w:right w:val="single" w:color="auto" w:sz="4" w:space="0"/>
            </w:tcBorders>
            <w:vAlign w:val="center"/>
          </w:tcPr>
          <w:p w14:paraId="4FEB8066">
            <w:pPr>
              <w:ind w:firstLine="0" w:firstLineChars="0"/>
              <w:rPr>
                <w:rFonts w:hint="eastAsia" w:ascii="仿宋_GB2312" w:hAnsi="仿宋_GB2312" w:eastAsia="仿宋_GB2312" w:cs="仿宋_GB2312"/>
                <w:sz w:val="24"/>
                <w:szCs w:val="24"/>
                <w:highlight w:val="none"/>
              </w:rPr>
            </w:pPr>
          </w:p>
        </w:tc>
        <w:tc>
          <w:tcPr>
            <w:tcW w:w="821" w:type="dxa"/>
            <w:tcBorders>
              <w:top w:val="nil"/>
              <w:left w:val="nil"/>
              <w:bottom w:val="single" w:color="auto" w:sz="4" w:space="0"/>
              <w:right w:val="single" w:color="auto" w:sz="4" w:space="0"/>
            </w:tcBorders>
            <w:vAlign w:val="center"/>
          </w:tcPr>
          <w:p w14:paraId="18A9B1E2">
            <w:pPr>
              <w:ind w:firstLine="0" w:firstLineChars="0"/>
              <w:rPr>
                <w:rFonts w:hint="eastAsia" w:ascii="仿宋_GB2312" w:hAnsi="仿宋_GB2312" w:eastAsia="仿宋_GB2312" w:cs="仿宋_GB2312"/>
                <w:sz w:val="24"/>
                <w:szCs w:val="24"/>
                <w:highlight w:val="none"/>
              </w:rPr>
            </w:pPr>
          </w:p>
        </w:tc>
      </w:tr>
      <w:tr w14:paraId="5C76E2E1">
        <w:tblPrEx>
          <w:tblCellMar>
            <w:top w:w="0" w:type="dxa"/>
            <w:left w:w="28" w:type="dxa"/>
            <w:bottom w:w="0" w:type="dxa"/>
            <w:right w:w="28" w:type="dxa"/>
          </w:tblCellMar>
        </w:tblPrEx>
        <w:trPr>
          <w:trHeight w:val="600" w:hRule="atLeast"/>
        </w:trPr>
        <w:tc>
          <w:tcPr>
            <w:tcW w:w="566" w:type="dxa"/>
            <w:tcBorders>
              <w:top w:val="nil"/>
              <w:left w:val="single" w:color="auto" w:sz="4" w:space="0"/>
              <w:bottom w:val="single" w:color="auto" w:sz="4" w:space="0"/>
              <w:right w:val="single" w:color="auto" w:sz="4" w:space="0"/>
            </w:tcBorders>
            <w:noWrap/>
            <w:vAlign w:val="center"/>
          </w:tcPr>
          <w:p w14:paraId="1ADE0A06">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11</w:t>
            </w:r>
          </w:p>
        </w:tc>
        <w:tc>
          <w:tcPr>
            <w:tcW w:w="1641" w:type="dxa"/>
            <w:tcBorders>
              <w:top w:val="nil"/>
              <w:left w:val="nil"/>
              <w:bottom w:val="single" w:color="auto" w:sz="4" w:space="0"/>
              <w:right w:val="single" w:color="auto" w:sz="4" w:space="0"/>
            </w:tcBorders>
            <w:vAlign w:val="center"/>
          </w:tcPr>
          <w:p w14:paraId="533343E6">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防洪评价</w:t>
            </w:r>
          </w:p>
        </w:tc>
        <w:tc>
          <w:tcPr>
            <w:tcW w:w="2215" w:type="dxa"/>
            <w:tcBorders>
              <w:top w:val="single" w:color="auto" w:sz="4" w:space="0"/>
              <w:left w:val="nil"/>
              <w:bottom w:val="single" w:color="auto" w:sz="4" w:space="0"/>
              <w:right w:val="single" w:color="000000" w:sz="4" w:space="0"/>
            </w:tcBorders>
            <w:vAlign w:val="center"/>
          </w:tcPr>
          <w:p w14:paraId="70C09F79">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暂估列</w:t>
            </w:r>
          </w:p>
        </w:tc>
        <w:tc>
          <w:tcPr>
            <w:tcW w:w="709" w:type="dxa"/>
            <w:tcBorders>
              <w:top w:val="nil"/>
              <w:left w:val="nil"/>
              <w:bottom w:val="single" w:color="auto" w:sz="4" w:space="0"/>
              <w:right w:val="single" w:color="auto" w:sz="4" w:space="0"/>
            </w:tcBorders>
            <w:vAlign w:val="center"/>
          </w:tcPr>
          <w:p w14:paraId="28B2EBC1">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2.00</w:t>
            </w:r>
          </w:p>
        </w:tc>
        <w:tc>
          <w:tcPr>
            <w:tcW w:w="851" w:type="dxa"/>
            <w:tcBorders>
              <w:top w:val="nil"/>
              <w:left w:val="nil"/>
              <w:bottom w:val="single" w:color="auto" w:sz="4" w:space="0"/>
              <w:right w:val="single" w:color="auto" w:sz="4" w:space="0"/>
            </w:tcBorders>
            <w:noWrap/>
            <w:vAlign w:val="center"/>
          </w:tcPr>
          <w:p w14:paraId="730B1C42">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2.00</w:t>
            </w:r>
          </w:p>
        </w:tc>
        <w:tc>
          <w:tcPr>
            <w:tcW w:w="567" w:type="dxa"/>
            <w:tcBorders>
              <w:top w:val="nil"/>
              <w:left w:val="nil"/>
              <w:bottom w:val="single" w:color="auto" w:sz="4" w:space="0"/>
              <w:right w:val="single" w:color="auto" w:sz="4" w:space="0"/>
            </w:tcBorders>
            <w:vAlign w:val="center"/>
          </w:tcPr>
          <w:p w14:paraId="0C480551">
            <w:pPr>
              <w:ind w:firstLine="0" w:firstLineChars="0"/>
              <w:rPr>
                <w:rFonts w:hint="eastAsia" w:ascii="仿宋_GB2312" w:hAnsi="仿宋_GB2312" w:eastAsia="仿宋_GB2312" w:cs="仿宋_GB2312"/>
                <w:sz w:val="24"/>
                <w:szCs w:val="24"/>
                <w:highlight w:val="none"/>
              </w:rPr>
            </w:pPr>
          </w:p>
        </w:tc>
        <w:tc>
          <w:tcPr>
            <w:tcW w:w="992" w:type="dxa"/>
            <w:tcBorders>
              <w:top w:val="nil"/>
              <w:left w:val="nil"/>
              <w:bottom w:val="single" w:color="auto" w:sz="4" w:space="0"/>
              <w:right w:val="single" w:color="auto" w:sz="4" w:space="0"/>
            </w:tcBorders>
            <w:vAlign w:val="center"/>
          </w:tcPr>
          <w:p w14:paraId="4200B949">
            <w:pPr>
              <w:ind w:firstLine="0" w:firstLineChars="0"/>
              <w:rPr>
                <w:rFonts w:hint="eastAsia" w:ascii="仿宋_GB2312" w:hAnsi="仿宋_GB2312" w:eastAsia="仿宋_GB2312" w:cs="仿宋_GB2312"/>
                <w:sz w:val="24"/>
                <w:szCs w:val="24"/>
                <w:highlight w:val="none"/>
              </w:rPr>
            </w:pPr>
          </w:p>
        </w:tc>
        <w:tc>
          <w:tcPr>
            <w:tcW w:w="821" w:type="dxa"/>
            <w:tcBorders>
              <w:top w:val="nil"/>
              <w:left w:val="nil"/>
              <w:bottom w:val="single" w:color="auto" w:sz="4" w:space="0"/>
              <w:right w:val="single" w:color="auto" w:sz="4" w:space="0"/>
            </w:tcBorders>
            <w:vAlign w:val="center"/>
          </w:tcPr>
          <w:p w14:paraId="30D0FC96">
            <w:pPr>
              <w:ind w:firstLine="0" w:firstLineChars="0"/>
              <w:rPr>
                <w:rFonts w:hint="eastAsia" w:ascii="仿宋_GB2312" w:hAnsi="仿宋_GB2312" w:eastAsia="仿宋_GB2312" w:cs="仿宋_GB2312"/>
                <w:sz w:val="24"/>
                <w:szCs w:val="24"/>
                <w:highlight w:val="none"/>
              </w:rPr>
            </w:pPr>
          </w:p>
        </w:tc>
      </w:tr>
      <w:tr w14:paraId="200A533E">
        <w:tblPrEx>
          <w:tblCellMar>
            <w:top w:w="0" w:type="dxa"/>
            <w:left w:w="28" w:type="dxa"/>
            <w:bottom w:w="0" w:type="dxa"/>
            <w:right w:w="28" w:type="dxa"/>
          </w:tblCellMar>
        </w:tblPrEx>
        <w:trPr>
          <w:trHeight w:val="439" w:hRule="atLeast"/>
        </w:trPr>
        <w:tc>
          <w:tcPr>
            <w:tcW w:w="566" w:type="dxa"/>
            <w:tcBorders>
              <w:top w:val="nil"/>
              <w:left w:val="single" w:color="auto" w:sz="4" w:space="0"/>
              <w:bottom w:val="single" w:color="auto" w:sz="4" w:space="0"/>
              <w:right w:val="single" w:color="auto" w:sz="4" w:space="0"/>
            </w:tcBorders>
            <w:noWrap/>
            <w:vAlign w:val="center"/>
          </w:tcPr>
          <w:p w14:paraId="57EAAA27">
            <w:pPr>
              <w:ind w:firstLine="0" w:firstLineChars="0"/>
              <w:jc w:val="cente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Ⅲ</w:t>
            </w:r>
          </w:p>
        </w:tc>
        <w:tc>
          <w:tcPr>
            <w:tcW w:w="1641" w:type="dxa"/>
            <w:tcBorders>
              <w:top w:val="nil"/>
              <w:left w:val="nil"/>
              <w:bottom w:val="single" w:color="auto" w:sz="4" w:space="0"/>
              <w:right w:val="single" w:color="auto" w:sz="4" w:space="0"/>
            </w:tcBorders>
            <w:vAlign w:val="center"/>
          </w:tcPr>
          <w:p w14:paraId="608E80E5">
            <w:pPr>
              <w:ind w:firstLine="0" w:firstLineChars="0"/>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第三部分预备费用</w:t>
            </w:r>
          </w:p>
        </w:tc>
        <w:tc>
          <w:tcPr>
            <w:tcW w:w="2215" w:type="dxa"/>
            <w:tcBorders>
              <w:top w:val="nil"/>
              <w:left w:val="nil"/>
              <w:bottom w:val="single" w:color="auto" w:sz="4" w:space="0"/>
              <w:right w:val="single" w:color="auto" w:sz="4" w:space="0"/>
            </w:tcBorders>
            <w:noWrap/>
            <w:vAlign w:val="center"/>
          </w:tcPr>
          <w:p w14:paraId="55F3AC27">
            <w:pPr>
              <w:ind w:firstLine="0" w:firstLineChars="0"/>
              <w:rPr>
                <w:rFonts w:hint="eastAsia" w:ascii="仿宋_GB2312" w:hAnsi="仿宋_GB2312" w:eastAsia="仿宋_GB2312" w:cs="仿宋_GB2312"/>
                <w:b/>
                <w:bCs/>
                <w:sz w:val="24"/>
                <w:szCs w:val="24"/>
                <w:highlight w:val="none"/>
              </w:rPr>
            </w:pPr>
          </w:p>
        </w:tc>
        <w:tc>
          <w:tcPr>
            <w:tcW w:w="709" w:type="dxa"/>
            <w:tcBorders>
              <w:top w:val="nil"/>
              <w:left w:val="nil"/>
              <w:bottom w:val="single" w:color="auto" w:sz="4" w:space="0"/>
              <w:right w:val="single" w:color="auto" w:sz="4" w:space="0"/>
            </w:tcBorders>
            <w:noWrap/>
            <w:vAlign w:val="center"/>
          </w:tcPr>
          <w:p w14:paraId="002041A4">
            <w:pPr>
              <w:ind w:firstLine="0" w:firstLineChars="0"/>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4.57</w:t>
            </w:r>
          </w:p>
        </w:tc>
        <w:tc>
          <w:tcPr>
            <w:tcW w:w="851" w:type="dxa"/>
            <w:tcBorders>
              <w:top w:val="nil"/>
              <w:left w:val="nil"/>
              <w:bottom w:val="single" w:color="auto" w:sz="4" w:space="0"/>
              <w:right w:val="single" w:color="auto" w:sz="4" w:space="0"/>
            </w:tcBorders>
            <w:noWrap/>
            <w:vAlign w:val="center"/>
          </w:tcPr>
          <w:p w14:paraId="7082F283">
            <w:pPr>
              <w:ind w:firstLine="0" w:firstLineChars="0"/>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4.57</w:t>
            </w:r>
          </w:p>
        </w:tc>
        <w:tc>
          <w:tcPr>
            <w:tcW w:w="567" w:type="dxa"/>
            <w:tcBorders>
              <w:top w:val="nil"/>
              <w:left w:val="nil"/>
              <w:bottom w:val="single" w:color="auto" w:sz="4" w:space="0"/>
              <w:right w:val="single" w:color="auto" w:sz="4" w:space="0"/>
            </w:tcBorders>
            <w:vAlign w:val="center"/>
          </w:tcPr>
          <w:p w14:paraId="6A9E85CC">
            <w:pPr>
              <w:ind w:firstLine="0" w:firstLineChars="0"/>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项</w:t>
            </w:r>
          </w:p>
        </w:tc>
        <w:tc>
          <w:tcPr>
            <w:tcW w:w="992" w:type="dxa"/>
            <w:tcBorders>
              <w:top w:val="nil"/>
              <w:left w:val="nil"/>
              <w:bottom w:val="single" w:color="auto" w:sz="4" w:space="0"/>
              <w:right w:val="single" w:color="auto" w:sz="4" w:space="0"/>
            </w:tcBorders>
            <w:vAlign w:val="center"/>
          </w:tcPr>
          <w:p w14:paraId="5E7FD539">
            <w:pPr>
              <w:ind w:firstLine="0" w:firstLineChars="0"/>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1.00</w:t>
            </w:r>
          </w:p>
        </w:tc>
        <w:tc>
          <w:tcPr>
            <w:tcW w:w="821" w:type="dxa"/>
            <w:tcBorders>
              <w:top w:val="nil"/>
              <w:left w:val="nil"/>
              <w:bottom w:val="single" w:color="auto" w:sz="4" w:space="0"/>
              <w:right w:val="single" w:color="auto" w:sz="4" w:space="0"/>
            </w:tcBorders>
            <w:vAlign w:val="center"/>
          </w:tcPr>
          <w:p w14:paraId="6923DE0C">
            <w:pPr>
              <w:ind w:firstLine="0" w:firstLineChars="0"/>
              <w:rPr>
                <w:rFonts w:hint="eastAsia" w:ascii="仿宋_GB2312" w:hAnsi="仿宋_GB2312" w:eastAsia="仿宋_GB2312" w:cs="仿宋_GB2312"/>
                <w:sz w:val="24"/>
                <w:szCs w:val="24"/>
                <w:highlight w:val="none"/>
              </w:rPr>
            </w:pPr>
          </w:p>
        </w:tc>
      </w:tr>
      <w:tr w14:paraId="73566C14">
        <w:tblPrEx>
          <w:tblCellMar>
            <w:top w:w="0" w:type="dxa"/>
            <w:left w:w="28" w:type="dxa"/>
            <w:bottom w:w="0" w:type="dxa"/>
            <w:right w:w="28" w:type="dxa"/>
          </w:tblCellMar>
        </w:tblPrEx>
        <w:trPr>
          <w:trHeight w:val="439" w:hRule="atLeast"/>
        </w:trPr>
        <w:tc>
          <w:tcPr>
            <w:tcW w:w="566" w:type="dxa"/>
            <w:tcBorders>
              <w:top w:val="nil"/>
              <w:left w:val="single" w:color="auto" w:sz="4" w:space="0"/>
              <w:bottom w:val="single" w:color="auto" w:sz="4" w:space="0"/>
              <w:right w:val="single" w:color="auto" w:sz="4" w:space="0"/>
            </w:tcBorders>
            <w:noWrap/>
            <w:vAlign w:val="center"/>
          </w:tcPr>
          <w:p w14:paraId="4728460B">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w:t>
            </w:r>
          </w:p>
        </w:tc>
        <w:tc>
          <w:tcPr>
            <w:tcW w:w="1641" w:type="dxa"/>
            <w:tcBorders>
              <w:top w:val="nil"/>
              <w:left w:val="nil"/>
              <w:bottom w:val="single" w:color="auto" w:sz="4" w:space="0"/>
              <w:right w:val="single" w:color="auto" w:sz="4" w:space="0"/>
            </w:tcBorders>
            <w:vAlign w:val="center"/>
          </w:tcPr>
          <w:p w14:paraId="6F13E9A3">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基本预备费＝（Ⅰ）×2%</w:t>
            </w:r>
          </w:p>
        </w:tc>
        <w:tc>
          <w:tcPr>
            <w:tcW w:w="2215" w:type="dxa"/>
            <w:tcBorders>
              <w:top w:val="nil"/>
              <w:left w:val="nil"/>
              <w:bottom w:val="single" w:color="auto" w:sz="4" w:space="0"/>
              <w:right w:val="single" w:color="auto" w:sz="4" w:space="0"/>
            </w:tcBorders>
            <w:noWrap/>
            <w:vAlign w:val="center"/>
          </w:tcPr>
          <w:p w14:paraId="69F703A7">
            <w:pPr>
              <w:ind w:firstLine="0" w:firstLineChars="0"/>
              <w:rPr>
                <w:rFonts w:hint="eastAsia" w:ascii="仿宋_GB2312" w:hAnsi="仿宋_GB2312" w:eastAsia="仿宋_GB2312" w:cs="仿宋_GB2312"/>
                <w:b/>
                <w:bCs/>
                <w:sz w:val="24"/>
                <w:szCs w:val="24"/>
                <w:highlight w:val="none"/>
              </w:rPr>
            </w:pPr>
          </w:p>
        </w:tc>
        <w:tc>
          <w:tcPr>
            <w:tcW w:w="709" w:type="dxa"/>
            <w:tcBorders>
              <w:top w:val="nil"/>
              <w:left w:val="nil"/>
              <w:bottom w:val="single" w:color="auto" w:sz="4" w:space="0"/>
              <w:right w:val="single" w:color="auto" w:sz="4" w:space="0"/>
            </w:tcBorders>
            <w:noWrap/>
            <w:vAlign w:val="center"/>
          </w:tcPr>
          <w:p w14:paraId="44541E2C">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4.57</w:t>
            </w:r>
          </w:p>
        </w:tc>
        <w:tc>
          <w:tcPr>
            <w:tcW w:w="851" w:type="dxa"/>
            <w:tcBorders>
              <w:top w:val="nil"/>
              <w:left w:val="nil"/>
              <w:bottom w:val="single" w:color="auto" w:sz="4" w:space="0"/>
              <w:right w:val="single" w:color="auto" w:sz="4" w:space="0"/>
            </w:tcBorders>
            <w:noWrap/>
            <w:vAlign w:val="center"/>
          </w:tcPr>
          <w:p w14:paraId="6A16452A">
            <w:pPr>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4.57</w:t>
            </w:r>
          </w:p>
        </w:tc>
        <w:tc>
          <w:tcPr>
            <w:tcW w:w="567" w:type="dxa"/>
            <w:tcBorders>
              <w:top w:val="nil"/>
              <w:left w:val="nil"/>
              <w:bottom w:val="single" w:color="auto" w:sz="4" w:space="0"/>
              <w:right w:val="single" w:color="auto" w:sz="4" w:space="0"/>
            </w:tcBorders>
            <w:noWrap/>
            <w:vAlign w:val="center"/>
          </w:tcPr>
          <w:p w14:paraId="73684B86">
            <w:pPr>
              <w:ind w:firstLine="0" w:firstLineChars="0"/>
              <w:rPr>
                <w:rFonts w:hint="eastAsia" w:ascii="仿宋_GB2312" w:hAnsi="仿宋_GB2312" w:eastAsia="仿宋_GB2312" w:cs="仿宋_GB2312"/>
                <w:b/>
                <w:bCs/>
                <w:sz w:val="24"/>
                <w:szCs w:val="24"/>
                <w:highlight w:val="none"/>
              </w:rPr>
            </w:pPr>
          </w:p>
        </w:tc>
        <w:tc>
          <w:tcPr>
            <w:tcW w:w="992" w:type="dxa"/>
            <w:tcBorders>
              <w:top w:val="nil"/>
              <w:left w:val="nil"/>
              <w:bottom w:val="single" w:color="auto" w:sz="4" w:space="0"/>
              <w:right w:val="single" w:color="auto" w:sz="4" w:space="0"/>
            </w:tcBorders>
            <w:noWrap/>
            <w:vAlign w:val="center"/>
          </w:tcPr>
          <w:p w14:paraId="032649C5">
            <w:pPr>
              <w:ind w:firstLine="0" w:firstLineChars="0"/>
              <w:rPr>
                <w:rFonts w:hint="eastAsia" w:ascii="仿宋_GB2312" w:hAnsi="仿宋_GB2312" w:eastAsia="仿宋_GB2312" w:cs="仿宋_GB2312"/>
                <w:b/>
                <w:bCs/>
                <w:sz w:val="24"/>
                <w:szCs w:val="24"/>
                <w:highlight w:val="none"/>
              </w:rPr>
            </w:pPr>
          </w:p>
        </w:tc>
        <w:tc>
          <w:tcPr>
            <w:tcW w:w="821" w:type="dxa"/>
            <w:tcBorders>
              <w:top w:val="nil"/>
              <w:left w:val="nil"/>
              <w:bottom w:val="single" w:color="auto" w:sz="4" w:space="0"/>
              <w:right w:val="single" w:color="auto" w:sz="4" w:space="0"/>
            </w:tcBorders>
            <w:noWrap/>
            <w:vAlign w:val="center"/>
          </w:tcPr>
          <w:p w14:paraId="6EE8C83B">
            <w:pPr>
              <w:ind w:firstLine="0" w:firstLineChars="0"/>
              <w:rPr>
                <w:rFonts w:hint="eastAsia" w:ascii="仿宋_GB2312" w:hAnsi="仿宋_GB2312" w:eastAsia="仿宋_GB2312" w:cs="仿宋_GB2312"/>
                <w:b/>
                <w:bCs/>
                <w:sz w:val="24"/>
                <w:szCs w:val="24"/>
                <w:highlight w:val="none"/>
              </w:rPr>
            </w:pPr>
          </w:p>
        </w:tc>
      </w:tr>
      <w:tr w14:paraId="566787BA">
        <w:tblPrEx>
          <w:tblCellMar>
            <w:top w:w="0" w:type="dxa"/>
            <w:left w:w="28" w:type="dxa"/>
            <w:bottom w:w="0" w:type="dxa"/>
            <w:right w:w="28" w:type="dxa"/>
          </w:tblCellMar>
        </w:tblPrEx>
        <w:trPr>
          <w:trHeight w:val="439" w:hRule="atLeast"/>
        </w:trPr>
        <w:tc>
          <w:tcPr>
            <w:tcW w:w="566" w:type="dxa"/>
            <w:tcBorders>
              <w:top w:val="nil"/>
              <w:left w:val="single" w:color="auto" w:sz="4" w:space="0"/>
              <w:bottom w:val="single" w:color="auto" w:sz="4" w:space="0"/>
              <w:right w:val="single" w:color="auto" w:sz="4" w:space="0"/>
            </w:tcBorders>
            <w:noWrap/>
            <w:vAlign w:val="center"/>
          </w:tcPr>
          <w:p w14:paraId="557D3AB8">
            <w:pPr>
              <w:ind w:firstLine="0" w:firstLineChars="0"/>
              <w:jc w:val="cente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Ⅳ</w:t>
            </w:r>
          </w:p>
        </w:tc>
        <w:tc>
          <w:tcPr>
            <w:tcW w:w="1641" w:type="dxa"/>
            <w:tcBorders>
              <w:top w:val="single" w:color="auto" w:sz="4" w:space="0"/>
              <w:left w:val="nil"/>
              <w:bottom w:val="single" w:color="auto" w:sz="4" w:space="0"/>
              <w:right w:val="single" w:color="auto" w:sz="4" w:space="0"/>
            </w:tcBorders>
            <w:vAlign w:val="center"/>
          </w:tcPr>
          <w:p w14:paraId="40427DA2">
            <w:pPr>
              <w:ind w:firstLine="0" w:firstLineChars="0"/>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建设投资（Ⅰ+Ⅱ+Ⅲ）</w:t>
            </w:r>
          </w:p>
        </w:tc>
        <w:tc>
          <w:tcPr>
            <w:tcW w:w="2215" w:type="dxa"/>
            <w:tcBorders>
              <w:top w:val="nil"/>
              <w:left w:val="nil"/>
              <w:bottom w:val="single" w:color="auto" w:sz="4" w:space="0"/>
              <w:right w:val="single" w:color="auto" w:sz="4" w:space="0"/>
            </w:tcBorders>
            <w:noWrap/>
            <w:vAlign w:val="center"/>
          </w:tcPr>
          <w:p w14:paraId="51DA930E">
            <w:pPr>
              <w:ind w:firstLine="0" w:firstLineChars="0"/>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228.44</w:t>
            </w:r>
          </w:p>
        </w:tc>
        <w:tc>
          <w:tcPr>
            <w:tcW w:w="709" w:type="dxa"/>
            <w:tcBorders>
              <w:top w:val="nil"/>
              <w:left w:val="nil"/>
              <w:bottom w:val="single" w:color="auto" w:sz="4" w:space="0"/>
              <w:right w:val="single" w:color="auto" w:sz="4" w:space="0"/>
            </w:tcBorders>
            <w:noWrap/>
            <w:vAlign w:val="center"/>
          </w:tcPr>
          <w:p w14:paraId="49486CCF">
            <w:pPr>
              <w:ind w:firstLine="0" w:firstLineChars="0"/>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31.44</w:t>
            </w:r>
          </w:p>
        </w:tc>
        <w:tc>
          <w:tcPr>
            <w:tcW w:w="851" w:type="dxa"/>
            <w:tcBorders>
              <w:top w:val="nil"/>
              <w:left w:val="nil"/>
              <w:bottom w:val="single" w:color="auto" w:sz="4" w:space="0"/>
              <w:right w:val="single" w:color="auto" w:sz="4" w:space="0"/>
            </w:tcBorders>
            <w:noWrap/>
            <w:vAlign w:val="center"/>
          </w:tcPr>
          <w:p w14:paraId="7A830A2D">
            <w:pPr>
              <w:ind w:firstLine="0" w:firstLineChars="0"/>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259.88</w:t>
            </w:r>
          </w:p>
        </w:tc>
        <w:tc>
          <w:tcPr>
            <w:tcW w:w="567" w:type="dxa"/>
            <w:tcBorders>
              <w:top w:val="nil"/>
              <w:left w:val="nil"/>
              <w:bottom w:val="single" w:color="auto" w:sz="4" w:space="0"/>
              <w:right w:val="single" w:color="auto" w:sz="4" w:space="0"/>
            </w:tcBorders>
            <w:vAlign w:val="center"/>
          </w:tcPr>
          <w:p w14:paraId="102A5D68">
            <w:pPr>
              <w:ind w:firstLine="0" w:firstLineChars="0"/>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项</w:t>
            </w:r>
          </w:p>
        </w:tc>
        <w:tc>
          <w:tcPr>
            <w:tcW w:w="992" w:type="dxa"/>
            <w:tcBorders>
              <w:top w:val="nil"/>
              <w:left w:val="nil"/>
              <w:bottom w:val="single" w:color="auto" w:sz="4" w:space="0"/>
              <w:right w:val="single" w:color="auto" w:sz="4" w:space="0"/>
            </w:tcBorders>
            <w:vAlign w:val="center"/>
          </w:tcPr>
          <w:p w14:paraId="444E1867">
            <w:pPr>
              <w:ind w:firstLine="0" w:firstLineChars="0"/>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1.00</w:t>
            </w:r>
          </w:p>
        </w:tc>
        <w:tc>
          <w:tcPr>
            <w:tcW w:w="821" w:type="dxa"/>
            <w:tcBorders>
              <w:top w:val="nil"/>
              <w:left w:val="nil"/>
              <w:bottom w:val="single" w:color="auto" w:sz="4" w:space="0"/>
              <w:right w:val="single" w:color="auto" w:sz="4" w:space="0"/>
            </w:tcBorders>
            <w:vAlign w:val="center"/>
          </w:tcPr>
          <w:p w14:paraId="030AF50C">
            <w:pPr>
              <w:ind w:firstLine="0" w:firstLineChars="0"/>
              <w:rPr>
                <w:rFonts w:hint="eastAsia" w:ascii="仿宋_GB2312" w:hAnsi="仿宋_GB2312" w:eastAsia="仿宋_GB2312" w:cs="仿宋_GB2312"/>
                <w:sz w:val="24"/>
                <w:szCs w:val="24"/>
                <w:highlight w:val="none"/>
              </w:rPr>
            </w:pPr>
          </w:p>
        </w:tc>
      </w:tr>
    </w:tbl>
    <w:p w14:paraId="5CCED784">
      <w:pPr>
        <w:ind w:firstLine="0" w:firstLineChars="0"/>
        <w:rPr>
          <w:rFonts w:hint="eastAsia" w:ascii="仿宋_GB2312" w:hAnsi="仿宋_GB2312" w:eastAsia="仿宋_GB2312" w:cs="仿宋_GB2312"/>
          <w:sz w:val="32"/>
          <w:szCs w:val="32"/>
          <w:highlight w:val="none"/>
        </w:rPr>
      </w:pPr>
    </w:p>
    <w:p w14:paraId="062ED7D8">
      <w:pPr>
        <w:ind w:firstLineChars="0"/>
        <w:rPr>
          <w:rFonts w:hint="eastAsia" w:ascii="仿宋_GB2312" w:hAnsi="仿宋_GB2312" w:eastAsia="仿宋_GB2312" w:cs="仿宋_GB2312"/>
          <w:sz w:val="32"/>
          <w:szCs w:val="32"/>
          <w:highlight w:val="none"/>
        </w:rPr>
      </w:pPr>
    </w:p>
    <w:p w14:paraId="4E1B3ABB">
      <w:pPr>
        <w:ind w:firstLine="643"/>
        <w:rPr>
          <w:rFonts w:hint="eastAsia" w:ascii="仿宋_GB2312" w:hAnsi="仿宋_GB2312" w:eastAsia="仿宋_GB2312" w:cs="仿宋_GB2312"/>
          <w:b/>
          <w:bCs/>
          <w:sz w:val="32"/>
          <w:szCs w:val="32"/>
          <w:highlight w:val="none"/>
        </w:rPr>
      </w:pPr>
    </w:p>
    <w:p w14:paraId="05A8F9CB">
      <w:pPr>
        <w:pStyle w:val="4"/>
        <w:keepNext/>
        <w:keepLines/>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b w:val="0"/>
          <w:bCs/>
          <w:sz w:val="32"/>
          <w:szCs w:val="32"/>
          <w:highlight w:val="none"/>
        </w:rPr>
        <w:sectPr>
          <w:pgSz w:w="11906" w:h="16838"/>
          <w:pgMar w:top="1440" w:right="1800" w:bottom="1440" w:left="1800" w:header="851" w:footer="992" w:gutter="0"/>
          <w:pgNumType w:fmt="decimal"/>
          <w:cols w:space="425" w:num="1"/>
          <w:docGrid w:type="lines" w:linePitch="312" w:charSpace="0"/>
        </w:sectPr>
      </w:pPr>
    </w:p>
    <w:p w14:paraId="3E839CC4">
      <w:pPr>
        <w:pStyle w:val="4"/>
        <w:keepNext/>
        <w:keepLines/>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b w:val="0"/>
          <w:bCs/>
          <w:sz w:val="32"/>
          <w:szCs w:val="32"/>
          <w:highlight w:val="none"/>
        </w:rPr>
      </w:pPr>
      <w:bookmarkStart w:id="292" w:name="_Toc24185"/>
      <w:bookmarkStart w:id="293" w:name="_Toc14611"/>
      <w:r>
        <w:rPr>
          <w:rFonts w:hint="eastAsia" w:ascii="黑体" w:hAnsi="黑体" w:eastAsia="黑体" w:cs="黑体"/>
          <w:b w:val="0"/>
          <w:bCs/>
          <w:sz w:val="32"/>
          <w:szCs w:val="32"/>
          <w:highlight w:val="none"/>
        </w:rPr>
        <w:t>投资匡算与分期实施计划</w:t>
      </w:r>
      <w:bookmarkEnd w:id="292"/>
      <w:bookmarkEnd w:id="293"/>
    </w:p>
    <w:p w14:paraId="5A21D1A2">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294" w:name="_Toc22704"/>
      <w:bookmarkStart w:id="295" w:name="_Toc1481"/>
      <w:bookmarkStart w:id="296" w:name="OLE_LINK70"/>
      <w:r>
        <w:rPr>
          <w:rFonts w:hint="eastAsia" w:ascii="楷体" w:hAnsi="楷体" w:eastAsia="楷体" w:cs="楷体"/>
          <w:sz w:val="32"/>
          <w:szCs w:val="32"/>
          <w:highlight w:val="none"/>
        </w:rPr>
        <w:t>投资匡算</w:t>
      </w:r>
      <w:bookmarkEnd w:id="294"/>
      <w:bookmarkEnd w:id="295"/>
    </w:p>
    <w:bookmarkEnd w:id="296"/>
    <w:p w14:paraId="06795A73">
      <w:pPr>
        <w:pageBreakBefore w:val="0"/>
        <w:widowControl w:val="0"/>
        <w:kinsoku/>
        <w:wordWrap/>
        <w:overflowPunct/>
        <w:topLinePunct w:val="0"/>
        <w:autoSpaceDE/>
        <w:autoSpaceDN/>
        <w:bidi w:val="0"/>
        <w:adjustRightInd/>
        <w:snapToGrid/>
        <w:spacing w:before="156" w:line="560" w:lineRule="exact"/>
        <w:ind w:firstLine="480" w:firstLineChars="200"/>
        <w:jc w:val="center"/>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表</w:t>
      </w:r>
      <w:r>
        <w:rPr>
          <w:rFonts w:hint="eastAsia" w:ascii="仿宋_GB2312" w:hAnsi="仿宋_GB2312" w:eastAsia="仿宋_GB2312" w:cs="仿宋_GB2312"/>
          <w:sz w:val="24"/>
          <w:szCs w:val="24"/>
          <w:highlight w:val="none"/>
        </w:rPr>
        <w:fldChar w:fldCharType="begin"/>
      </w:r>
      <w:r>
        <w:rPr>
          <w:rFonts w:hint="eastAsia" w:ascii="仿宋_GB2312" w:hAnsi="仿宋_GB2312" w:eastAsia="仿宋_GB2312" w:cs="仿宋_GB2312"/>
          <w:sz w:val="24"/>
          <w:szCs w:val="24"/>
          <w:highlight w:val="none"/>
        </w:rPr>
        <w:instrText xml:space="preserve">STYLEREF 1\s</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z w:val="24"/>
          <w:szCs w:val="24"/>
          <w:highlight w:val="none"/>
        </w:rPr>
        <w:t>8</w:t>
      </w:r>
      <w:r>
        <w:rPr>
          <w:rFonts w:hint="eastAsia" w:ascii="仿宋_GB2312" w:hAnsi="仿宋_GB2312" w:eastAsia="仿宋_GB2312" w:cs="仿宋_GB2312"/>
          <w:sz w:val="24"/>
          <w:szCs w:val="24"/>
          <w:highlight w:val="none"/>
        </w:rPr>
        <w:fldChar w:fldCharType="end"/>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sz w:val="24"/>
          <w:szCs w:val="24"/>
          <w:highlight w:val="none"/>
        </w:rPr>
        <w:fldChar w:fldCharType="begin"/>
      </w:r>
      <w:r>
        <w:rPr>
          <w:rFonts w:hint="eastAsia" w:ascii="仿宋_GB2312" w:hAnsi="仿宋_GB2312" w:eastAsia="仿宋_GB2312" w:cs="仿宋_GB2312"/>
          <w:sz w:val="24"/>
          <w:szCs w:val="24"/>
          <w:highlight w:val="none"/>
        </w:rPr>
        <w:instrText xml:space="preserve">SEQ表\*ARABIC\s 1</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z w:val="24"/>
          <w:szCs w:val="24"/>
          <w:highlight w:val="none"/>
        </w:rPr>
        <w:t>1</w:t>
      </w:r>
      <w:r>
        <w:rPr>
          <w:rFonts w:hint="eastAsia" w:ascii="仿宋_GB2312" w:hAnsi="仿宋_GB2312" w:eastAsia="仿宋_GB2312" w:cs="仿宋_GB2312"/>
          <w:sz w:val="24"/>
          <w:szCs w:val="24"/>
          <w:highlight w:val="none"/>
        </w:rPr>
        <w:fldChar w:fldCharType="end"/>
      </w:r>
      <w:r>
        <w:rPr>
          <w:rFonts w:hint="eastAsia" w:ascii="仿宋_GB2312" w:hAnsi="仿宋_GB2312" w:eastAsia="仿宋_GB2312" w:cs="仿宋_GB2312"/>
          <w:sz w:val="24"/>
          <w:szCs w:val="24"/>
          <w:highlight w:val="none"/>
        </w:rPr>
        <w:t>分项投资匡算表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5"/>
        <w:gridCol w:w="2664"/>
        <w:gridCol w:w="3006"/>
      </w:tblGrid>
      <w:tr w14:paraId="72207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515" w:type="dxa"/>
            <w:vAlign w:val="center"/>
          </w:tcPr>
          <w:p w14:paraId="788FA7B2">
            <w:pPr>
              <w:spacing w:line="240" w:lineRule="auto"/>
              <w:ind w:firstLine="0" w:firstLineChars="0"/>
              <w:jc w:val="center"/>
              <w:rPr>
                <w:rFonts w:hint="eastAsia" w:ascii="仿宋_GB2312" w:hAnsi="仿宋_GB2312" w:eastAsia="仿宋_GB2312" w:cs="仿宋_GB2312"/>
                <w:sz w:val="24"/>
                <w:szCs w:val="24"/>
                <w:highlight w:val="none"/>
                <w:lang w:eastAsia="zh-CN"/>
              </w:rPr>
            </w:pPr>
            <w:bookmarkStart w:id="297" w:name="OLE_LINK71"/>
            <w:r>
              <w:rPr>
                <w:rFonts w:hint="eastAsia" w:ascii="仿宋_GB2312" w:hAnsi="仿宋_GB2312" w:eastAsia="仿宋_GB2312" w:cs="仿宋_GB2312"/>
                <w:sz w:val="24"/>
                <w:szCs w:val="24"/>
                <w:highlight w:val="none"/>
                <w:lang w:val="en-US" w:eastAsia="zh-CN"/>
              </w:rPr>
              <w:t>措施类别</w:t>
            </w:r>
          </w:p>
        </w:tc>
        <w:tc>
          <w:tcPr>
            <w:tcW w:w="2664" w:type="dxa"/>
            <w:vAlign w:val="center"/>
          </w:tcPr>
          <w:p w14:paraId="3A21412A">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项目</w:t>
            </w:r>
          </w:p>
        </w:tc>
        <w:tc>
          <w:tcPr>
            <w:tcW w:w="3006" w:type="dxa"/>
            <w:vAlign w:val="center"/>
          </w:tcPr>
          <w:p w14:paraId="28CDB882">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投资（万元）</w:t>
            </w:r>
          </w:p>
        </w:tc>
      </w:tr>
      <w:tr w14:paraId="414D8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515" w:type="dxa"/>
            <w:vAlign w:val="center"/>
          </w:tcPr>
          <w:p w14:paraId="62487435">
            <w:pPr>
              <w:spacing w:line="240" w:lineRule="auto"/>
              <w:ind w:firstLine="0" w:firstLineChars="0"/>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工程举措</w:t>
            </w:r>
          </w:p>
        </w:tc>
        <w:tc>
          <w:tcPr>
            <w:tcW w:w="2664" w:type="dxa"/>
            <w:vAlign w:val="center"/>
          </w:tcPr>
          <w:p w14:paraId="109F04D3">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bidi="ar"/>
              </w:rPr>
              <w:t>工程费</w:t>
            </w:r>
          </w:p>
        </w:tc>
        <w:tc>
          <w:tcPr>
            <w:tcW w:w="3006" w:type="dxa"/>
            <w:vAlign w:val="center"/>
          </w:tcPr>
          <w:p w14:paraId="3F88D7E3">
            <w:pPr>
              <w:widowControl/>
              <w:spacing w:line="240" w:lineRule="auto"/>
              <w:ind w:firstLine="0" w:firstLineChars="0"/>
              <w:jc w:val="center"/>
              <w:textAlignment w:val="center"/>
              <w:rPr>
                <w:rFonts w:hint="eastAsia" w:ascii="仿宋_GB2312" w:hAnsi="仿宋_GB2312" w:eastAsia="仿宋_GB2312" w:cs="仿宋_GB2312"/>
                <w:kern w:val="0"/>
                <w:sz w:val="24"/>
                <w:szCs w:val="24"/>
                <w:highlight w:val="none"/>
                <w:lang w:bidi="ar"/>
              </w:rPr>
            </w:pPr>
            <w:r>
              <w:rPr>
                <w:rFonts w:hint="eastAsia" w:ascii="仿宋_GB2312" w:hAnsi="仿宋_GB2312" w:eastAsia="仿宋_GB2312" w:cs="仿宋_GB2312"/>
                <w:sz w:val="24"/>
                <w:szCs w:val="24"/>
                <w:highlight w:val="none"/>
              </w:rPr>
              <w:t>30277</w:t>
            </w:r>
          </w:p>
        </w:tc>
      </w:tr>
      <w:tr w14:paraId="29916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515" w:type="dxa"/>
            <w:vAlign w:val="center"/>
          </w:tcPr>
          <w:p w14:paraId="557C2273">
            <w:pPr>
              <w:spacing w:line="240" w:lineRule="auto"/>
              <w:ind w:firstLine="0" w:firstLineChars="0"/>
              <w:jc w:val="center"/>
              <w:rPr>
                <w:rFonts w:hint="eastAsia" w:ascii="仿宋_GB2312" w:hAnsi="仿宋_GB2312" w:eastAsia="仿宋_GB2312" w:cs="仿宋_GB2312"/>
                <w:sz w:val="24"/>
                <w:szCs w:val="24"/>
                <w:highlight w:val="none"/>
              </w:rPr>
            </w:pPr>
          </w:p>
        </w:tc>
        <w:tc>
          <w:tcPr>
            <w:tcW w:w="2664" w:type="dxa"/>
            <w:vAlign w:val="center"/>
          </w:tcPr>
          <w:p w14:paraId="164278D6">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bidi="ar"/>
              </w:rPr>
              <w:t>工程建设其他费</w:t>
            </w:r>
          </w:p>
        </w:tc>
        <w:tc>
          <w:tcPr>
            <w:tcW w:w="3006" w:type="dxa"/>
            <w:vAlign w:val="center"/>
          </w:tcPr>
          <w:p w14:paraId="0F22622B">
            <w:pPr>
              <w:widowControl/>
              <w:spacing w:line="240" w:lineRule="auto"/>
              <w:ind w:firstLine="0" w:firstLineChars="0"/>
              <w:jc w:val="center"/>
              <w:textAlignment w:val="center"/>
              <w:rPr>
                <w:rFonts w:hint="eastAsia" w:ascii="仿宋_GB2312" w:hAnsi="仿宋_GB2312" w:eastAsia="仿宋_GB2312" w:cs="仿宋_GB2312"/>
                <w:kern w:val="0"/>
                <w:sz w:val="24"/>
                <w:szCs w:val="24"/>
                <w:highlight w:val="none"/>
                <w:lang w:bidi="ar"/>
              </w:rPr>
            </w:pPr>
            <w:r>
              <w:rPr>
                <w:rFonts w:hint="eastAsia" w:ascii="仿宋_GB2312" w:hAnsi="仿宋_GB2312" w:eastAsia="仿宋_GB2312" w:cs="仿宋_GB2312"/>
                <w:sz w:val="24"/>
                <w:szCs w:val="24"/>
                <w:highlight w:val="none"/>
              </w:rPr>
              <w:t>7664.2</w:t>
            </w:r>
          </w:p>
        </w:tc>
      </w:tr>
      <w:tr w14:paraId="2090A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515" w:type="dxa"/>
            <w:vAlign w:val="center"/>
          </w:tcPr>
          <w:p w14:paraId="49817B14">
            <w:pPr>
              <w:spacing w:line="240" w:lineRule="auto"/>
              <w:ind w:firstLine="0" w:firstLineChars="0"/>
              <w:jc w:val="center"/>
              <w:rPr>
                <w:rFonts w:hint="eastAsia" w:ascii="仿宋_GB2312" w:hAnsi="仿宋_GB2312" w:eastAsia="仿宋_GB2312" w:cs="仿宋_GB2312"/>
                <w:sz w:val="24"/>
                <w:szCs w:val="24"/>
                <w:highlight w:val="none"/>
              </w:rPr>
            </w:pPr>
          </w:p>
        </w:tc>
        <w:tc>
          <w:tcPr>
            <w:tcW w:w="2664" w:type="dxa"/>
            <w:vAlign w:val="center"/>
          </w:tcPr>
          <w:p w14:paraId="075B77C6">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bidi="ar"/>
              </w:rPr>
              <w:t>预备费</w:t>
            </w:r>
          </w:p>
        </w:tc>
        <w:tc>
          <w:tcPr>
            <w:tcW w:w="3006" w:type="dxa"/>
            <w:vAlign w:val="center"/>
          </w:tcPr>
          <w:p w14:paraId="5B0EA1AC">
            <w:pPr>
              <w:widowControl/>
              <w:spacing w:line="240" w:lineRule="auto"/>
              <w:ind w:firstLine="0" w:firstLineChars="0"/>
              <w:jc w:val="center"/>
              <w:textAlignment w:val="center"/>
              <w:rPr>
                <w:rFonts w:hint="eastAsia" w:ascii="仿宋_GB2312" w:hAnsi="仿宋_GB2312" w:eastAsia="仿宋_GB2312" w:cs="仿宋_GB2312"/>
                <w:kern w:val="0"/>
                <w:sz w:val="24"/>
                <w:szCs w:val="24"/>
                <w:highlight w:val="none"/>
                <w:lang w:bidi="ar"/>
              </w:rPr>
            </w:pPr>
            <w:r>
              <w:rPr>
                <w:rFonts w:hint="eastAsia" w:ascii="仿宋_GB2312" w:hAnsi="仿宋_GB2312" w:eastAsia="仿宋_GB2312" w:cs="仿宋_GB2312"/>
                <w:sz w:val="24"/>
                <w:szCs w:val="24"/>
                <w:highlight w:val="none"/>
              </w:rPr>
              <w:t>2695</w:t>
            </w:r>
          </w:p>
        </w:tc>
      </w:tr>
      <w:tr w14:paraId="20B97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515" w:type="dxa"/>
            <w:vAlign w:val="center"/>
          </w:tcPr>
          <w:p w14:paraId="69B9E34C">
            <w:pPr>
              <w:spacing w:line="240" w:lineRule="auto"/>
              <w:ind w:firstLine="0" w:firstLineChars="0"/>
              <w:jc w:val="center"/>
              <w:rPr>
                <w:rFonts w:hint="eastAsia" w:ascii="仿宋_GB2312" w:hAnsi="仿宋_GB2312" w:eastAsia="仿宋_GB2312" w:cs="仿宋_GB2312"/>
                <w:sz w:val="24"/>
                <w:szCs w:val="24"/>
                <w:highlight w:val="none"/>
              </w:rPr>
            </w:pPr>
          </w:p>
        </w:tc>
        <w:tc>
          <w:tcPr>
            <w:tcW w:w="2664" w:type="dxa"/>
            <w:vAlign w:val="center"/>
          </w:tcPr>
          <w:p w14:paraId="1B51D066">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bidi="ar"/>
              </w:rPr>
              <w:t>建设期利息</w:t>
            </w:r>
          </w:p>
        </w:tc>
        <w:tc>
          <w:tcPr>
            <w:tcW w:w="3006" w:type="dxa"/>
            <w:vAlign w:val="center"/>
          </w:tcPr>
          <w:p w14:paraId="2CB4A136">
            <w:pPr>
              <w:widowControl/>
              <w:spacing w:line="240" w:lineRule="auto"/>
              <w:ind w:firstLine="0" w:firstLineChars="0"/>
              <w:jc w:val="center"/>
              <w:textAlignment w:val="center"/>
              <w:rPr>
                <w:rFonts w:hint="eastAsia" w:ascii="仿宋_GB2312" w:hAnsi="仿宋_GB2312" w:eastAsia="仿宋_GB2312" w:cs="仿宋_GB2312"/>
                <w:kern w:val="0"/>
                <w:sz w:val="24"/>
                <w:szCs w:val="24"/>
                <w:highlight w:val="none"/>
                <w:lang w:bidi="ar"/>
              </w:rPr>
            </w:pPr>
            <w:r>
              <w:rPr>
                <w:rFonts w:hint="eastAsia" w:ascii="仿宋_GB2312" w:hAnsi="仿宋_GB2312" w:eastAsia="仿宋_GB2312" w:cs="仿宋_GB2312"/>
                <w:sz w:val="24"/>
                <w:szCs w:val="24"/>
                <w:highlight w:val="none"/>
              </w:rPr>
              <w:t>1305</w:t>
            </w:r>
          </w:p>
        </w:tc>
      </w:tr>
      <w:tr w14:paraId="3509D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515" w:type="dxa"/>
            <w:vAlign w:val="center"/>
          </w:tcPr>
          <w:p w14:paraId="05DCB239">
            <w:pPr>
              <w:spacing w:line="240" w:lineRule="auto"/>
              <w:ind w:firstLine="0" w:firstLineChars="0"/>
              <w:jc w:val="center"/>
              <w:rPr>
                <w:rFonts w:hint="eastAsia" w:ascii="仿宋_GB2312" w:hAnsi="仿宋_GB2312" w:eastAsia="仿宋_GB2312" w:cs="仿宋_GB2312"/>
                <w:sz w:val="24"/>
                <w:szCs w:val="24"/>
                <w:highlight w:val="none"/>
              </w:rPr>
            </w:pPr>
          </w:p>
        </w:tc>
        <w:tc>
          <w:tcPr>
            <w:tcW w:w="2664" w:type="dxa"/>
            <w:vAlign w:val="center"/>
          </w:tcPr>
          <w:p w14:paraId="7EADF392">
            <w:pPr>
              <w:spacing w:line="240" w:lineRule="auto"/>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bidi="ar"/>
              </w:rPr>
              <w:t>铺底流动资金</w:t>
            </w:r>
          </w:p>
        </w:tc>
        <w:tc>
          <w:tcPr>
            <w:tcW w:w="3006" w:type="dxa"/>
            <w:vAlign w:val="center"/>
          </w:tcPr>
          <w:p w14:paraId="72661116">
            <w:pPr>
              <w:widowControl/>
              <w:spacing w:line="240" w:lineRule="auto"/>
              <w:ind w:firstLine="0" w:firstLineChars="0"/>
              <w:jc w:val="center"/>
              <w:textAlignment w:val="center"/>
              <w:rPr>
                <w:rFonts w:hint="eastAsia" w:ascii="仿宋_GB2312" w:hAnsi="仿宋_GB2312" w:eastAsia="仿宋_GB2312" w:cs="仿宋_GB2312"/>
                <w:kern w:val="0"/>
                <w:sz w:val="24"/>
                <w:szCs w:val="24"/>
                <w:highlight w:val="none"/>
                <w:lang w:bidi="ar"/>
              </w:rPr>
            </w:pPr>
            <w:r>
              <w:rPr>
                <w:rFonts w:hint="eastAsia" w:ascii="仿宋_GB2312" w:hAnsi="仿宋_GB2312" w:eastAsia="仿宋_GB2312" w:cs="仿宋_GB2312"/>
                <w:sz w:val="24"/>
                <w:szCs w:val="24"/>
                <w:highlight w:val="none"/>
              </w:rPr>
              <w:t>168</w:t>
            </w:r>
          </w:p>
        </w:tc>
      </w:tr>
      <w:tr w14:paraId="7460A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515" w:type="dxa"/>
            <w:vAlign w:val="center"/>
          </w:tcPr>
          <w:p w14:paraId="562959CF">
            <w:pPr>
              <w:spacing w:line="240" w:lineRule="auto"/>
              <w:ind w:firstLine="0" w:firstLineChars="0"/>
              <w:jc w:val="center"/>
              <w:rPr>
                <w:rFonts w:hint="eastAsia" w:ascii="仿宋_GB2312" w:hAnsi="仿宋_GB2312" w:eastAsia="仿宋_GB2312" w:cs="仿宋_GB2312"/>
                <w:sz w:val="24"/>
                <w:szCs w:val="24"/>
                <w:highlight w:val="none"/>
              </w:rPr>
            </w:pPr>
          </w:p>
        </w:tc>
        <w:tc>
          <w:tcPr>
            <w:tcW w:w="2664" w:type="dxa"/>
            <w:vAlign w:val="center"/>
          </w:tcPr>
          <w:p w14:paraId="0B673098">
            <w:pPr>
              <w:spacing w:line="240" w:lineRule="auto"/>
              <w:ind w:firstLine="0" w:firstLineChars="0"/>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工程举措投资小计</w:t>
            </w:r>
          </w:p>
        </w:tc>
        <w:tc>
          <w:tcPr>
            <w:tcW w:w="3006" w:type="dxa"/>
            <w:vAlign w:val="center"/>
          </w:tcPr>
          <w:p w14:paraId="10BFFB42">
            <w:pPr>
              <w:widowControl/>
              <w:spacing w:line="240" w:lineRule="auto"/>
              <w:ind w:firstLine="0" w:firstLineChars="0"/>
              <w:jc w:val="center"/>
              <w:textAlignment w:val="center"/>
              <w:rPr>
                <w:rFonts w:hint="eastAsia" w:ascii="仿宋_GB2312" w:hAnsi="仿宋_GB2312" w:eastAsia="仿宋_GB2312" w:cs="仿宋_GB2312"/>
                <w:kern w:val="0"/>
                <w:sz w:val="24"/>
                <w:szCs w:val="24"/>
                <w:highlight w:val="none"/>
                <w:lang w:bidi="ar"/>
              </w:rPr>
            </w:pPr>
            <w:r>
              <w:rPr>
                <w:rFonts w:hint="eastAsia" w:ascii="仿宋_GB2312" w:hAnsi="仿宋_GB2312" w:eastAsia="仿宋_GB2312" w:cs="仿宋_GB2312"/>
                <w:sz w:val="24"/>
                <w:szCs w:val="24"/>
                <w:highlight w:val="none"/>
              </w:rPr>
              <w:t>42109.2</w:t>
            </w:r>
          </w:p>
        </w:tc>
      </w:tr>
      <w:tr w14:paraId="5137B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515" w:type="dxa"/>
            <w:vAlign w:val="center"/>
          </w:tcPr>
          <w:p w14:paraId="5E518E50">
            <w:pPr>
              <w:spacing w:line="240" w:lineRule="auto"/>
              <w:ind w:firstLine="0" w:firstLineChars="0"/>
              <w:jc w:val="center"/>
              <w:rPr>
                <w:rFonts w:hint="eastAsia" w:ascii="仿宋_GB2312" w:hAnsi="仿宋_GB2312" w:eastAsia="仿宋_GB2312" w:cs="仿宋_GB2312"/>
                <w:sz w:val="24"/>
                <w:szCs w:val="24"/>
                <w:highlight w:val="none"/>
                <w:lang w:val="en-US" w:eastAsia="zh-CN"/>
              </w:rPr>
            </w:pPr>
            <w:bookmarkStart w:id="298" w:name="_Hlk214874608"/>
            <w:r>
              <w:rPr>
                <w:rFonts w:hint="eastAsia" w:ascii="仿宋_GB2312" w:hAnsi="仿宋_GB2312" w:eastAsia="仿宋_GB2312" w:cs="仿宋_GB2312"/>
                <w:b/>
                <w:bCs/>
                <w:sz w:val="24"/>
                <w:szCs w:val="24"/>
                <w:highlight w:val="none"/>
                <w:lang w:val="en-US" w:eastAsia="zh-CN"/>
              </w:rPr>
              <w:t>非工程举措</w:t>
            </w:r>
          </w:p>
        </w:tc>
        <w:tc>
          <w:tcPr>
            <w:tcW w:w="2664" w:type="dxa"/>
            <w:vAlign w:val="center"/>
          </w:tcPr>
          <w:p w14:paraId="5B9AE929">
            <w:pPr>
              <w:spacing w:line="240" w:lineRule="auto"/>
              <w:ind w:firstLine="0" w:firstLineChars="0"/>
              <w:jc w:val="center"/>
              <w:rPr>
                <w:rFonts w:hint="eastAsia" w:ascii="仿宋_GB2312" w:hAnsi="仿宋_GB2312" w:eastAsia="仿宋_GB2312" w:cs="仿宋_GB2312"/>
                <w:sz w:val="24"/>
                <w:szCs w:val="24"/>
                <w:highlight w:val="none"/>
                <w:lang w:val="en-US" w:eastAsia="zh-CN" w:bidi="ar"/>
              </w:rPr>
            </w:pPr>
            <w:r>
              <w:rPr>
                <w:rFonts w:hint="eastAsia" w:ascii="仿宋_GB2312" w:hAnsi="仿宋_GB2312" w:eastAsia="仿宋_GB2312" w:cs="仿宋_GB2312"/>
                <w:sz w:val="24"/>
                <w:szCs w:val="24"/>
                <w:highlight w:val="none"/>
                <w:lang w:val="en-US" w:eastAsia="zh-CN" w:bidi="ar"/>
              </w:rPr>
              <w:t>信息化平台</w:t>
            </w:r>
          </w:p>
        </w:tc>
        <w:tc>
          <w:tcPr>
            <w:tcW w:w="3006" w:type="dxa"/>
            <w:vAlign w:val="center"/>
          </w:tcPr>
          <w:p w14:paraId="47194D78">
            <w:pPr>
              <w:widowControl/>
              <w:spacing w:line="240" w:lineRule="auto"/>
              <w:ind w:firstLine="0" w:firstLineChars="0"/>
              <w:jc w:val="center"/>
              <w:textAlignment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1500</w:t>
            </w:r>
          </w:p>
        </w:tc>
      </w:tr>
      <w:tr w14:paraId="16C95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515" w:type="dxa"/>
            <w:vAlign w:val="center"/>
          </w:tcPr>
          <w:p w14:paraId="50104E6F">
            <w:pPr>
              <w:spacing w:line="240" w:lineRule="auto"/>
              <w:ind w:firstLine="0" w:firstLineChars="0"/>
              <w:jc w:val="center"/>
              <w:rPr>
                <w:rFonts w:hint="eastAsia" w:ascii="仿宋_GB2312" w:hAnsi="仿宋_GB2312" w:eastAsia="仿宋_GB2312" w:cs="仿宋_GB2312"/>
                <w:sz w:val="24"/>
                <w:szCs w:val="24"/>
                <w:highlight w:val="none"/>
                <w:lang w:val="en-US" w:eastAsia="zh-CN"/>
              </w:rPr>
            </w:pPr>
          </w:p>
        </w:tc>
        <w:tc>
          <w:tcPr>
            <w:tcW w:w="2664" w:type="dxa"/>
            <w:vAlign w:val="center"/>
          </w:tcPr>
          <w:p w14:paraId="2931782A">
            <w:pPr>
              <w:spacing w:line="240" w:lineRule="auto"/>
              <w:ind w:firstLine="0" w:firstLineChars="0"/>
              <w:jc w:val="center"/>
              <w:rPr>
                <w:rFonts w:hint="eastAsia" w:ascii="仿宋_GB2312" w:hAnsi="仿宋_GB2312" w:eastAsia="仿宋_GB2312" w:cs="仿宋_GB2312"/>
                <w:sz w:val="24"/>
                <w:szCs w:val="24"/>
                <w:highlight w:val="none"/>
                <w:lang w:val="en-US" w:eastAsia="zh-CN" w:bidi="ar"/>
              </w:rPr>
            </w:pPr>
            <w:r>
              <w:rPr>
                <w:rFonts w:hint="eastAsia" w:ascii="仿宋_GB2312" w:hAnsi="仿宋_GB2312" w:eastAsia="仿宋_GB2312" w:cs="仿宋_GB2312"/>
                <w:sz w:val="24"/>
                <w:szCs w:val="24"/>
                <w:highlight w:val="none"/>
                <w:lang w:bidi="ar"/>
              </w:rPr>
              <w:t>总投资</w:t>
            </w:r>
          </w:p>
        </w:tc>
        <w:tc>
          <w:tcPr>
            <w:tcW w:w="3006" w:type="dxa"/>
            <w:vAlign w:val="center"/>
          </w:tcPr>
          <w:p w14:paraId="22276C1F">
            <w:pPr>
              <w:widowControl/>
              <w:spacing w:line="240" w:lineRule="auto"/>
              <w:ind w:firstLine="0" w:firstLineChars="0"/>
              <w:jc w:val="center"/>
              <w:textAlignment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43609.2</w:t>
            </w:r>
          </w:p>
        </w:tc>
      </w:tr>
      <w:bookmarkEnd w:id="297"/>
    </w:tbl>
    <w:p w14:paraId="3ADF1DE4">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299" w:name="_Toc14297"/>
      <w:bookmarkStart w:id="300" w:name="_Toc31334"/>
      <w:r>
        <w:rPr>
          <w:rFonts w:hint="eastAsia" w:ascii="楷体" w:hAnsi="楷体" w:eastAsia="楷体" w:cs="楷体"/>
          <w:sz w:val="32"/>
          <w:szCs w:val="32"/>
          <w:highlight w:val="none"/>
        </w:rPr>
        <w:t>分期实施计划</w:t>
      </w:r>
      <w:bookmarkEnd w:id="298"/>
      <w:bookmarkEnd w:id="299"/>
      <w:bookmarkEnd w:id="300"/>
    </w:p>
    <w:p w14:paraId="52AEDD38">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行动方案共涉及</w:t>
      </w:r>
      <w:r>
        <w:rPr>
          <w:rFonts w:hint="eastAsia" w:ascii="仿宋_GB2312" w:hAnsi="仿宋_GB2312" w:eastAsia="仿宋_GB2312" w:cs="仿宋_GB2312"/>
          <w:sz w:val="32"/>
          <w:szCs w:val="32"/>
          <w:highlight w:val="none"/>
          <w:lang w:val="en-US" w:eastAsia="zh-CN"/>
        </w:rPr>
        <w:t>47</w:t>
      </w:r>
      <w:r>
        <w:rPr>
          <w:rFonts w:hint="eastAsia" w:ascii="仿宋_GB2312" w:hAnsi="仿宋_GB2312" w:eastAsia="仿宋_GB2312" w:cs="仿宋_GB2312"/>
          <w:sz w:val="32"/>
          <w:szCs w:val="32"/>
          <w:highlight w:val="none"/>
        </w:rPr>
        <w:t>个整治措施</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其中</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规模化供水工程</w:t>
      </w:r>
      <w:r>
        <w:rPr>
          <w:rFonts w:hint="eastAsia" w:ascii="仿宋_GB2312" w:hAnsi="仿宋_GB2312" w:eastAsia="仿宋_GB2312" w:cs="仿宋_GB2312"/>
          <w:sz w:val="32"/>
          <w:szCs w:val="32"/>
          <w:highlight w:val="none"/>
          <w:lang w:val="en-US" w:eastAsia="zh-CN"/>
        </w:rPr>
        <w:t>12</w:t>
      </w:r>
      <w:r>
        <w:rPr>
          <w:rFonts w:hint="eastAsia" w:ascii="仿宋_GB2312" w:hAnsi="仿宋_GB2312" w:eastAsia="仿宋_GB2312" w:cs="仿宋_GB2312"/>
          <w:sz w:val="32"/>
          <w:szCs w:val="32"/>
          <w:highlight w:val="none"/>
        </w:rPr>
        <w:t>个；单户分散式供水工程34个</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信息化平台1个</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总投资约43609.2万元，其中：工程举措投资42109.2万元，非工程举措投资1500万元。</w:t>
      </w:r>
    </w:p>
    <w:p w14:paraId="14D38D3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bookmarkStart w:id="301" w:name="OLE_LINK91"/>
      <w:r>
        <w:rPr>
          <w:rFonts w:hint="eastAsia" w:ascii="仿宋_GB2312" w:hAnsi="仿宋_GB2312" w:eastAsia="仿宋_GB2312" w:cs="仿宋_GB2312"/>
          <w:sz w:val="32"/>
          <w:szCs w:val="32"/>
          <w:highlight w:val="none"/>
        </w:rPr>
        <w:t>2025年</w:t>
      </w:r>
      <w:r>
        <w:rPr>
          <w:rFonts w:hint="eastAsia" w:ascii="仿宋_GB2312" w:hAnsi="仿宋_GB2312" w:eastAsia="仿宋_GB2312" w:cs="仿宋_GB2312"/>
          <w:sz w:val="32"/>
          <w:szCs w:val="32"/>
          <w:highlight w:val="none"/>
          <w:lang w:val="en-US" w:eastAsia="zh-CN"/>
        </w:rPr>
        <w:t>计划整治</w:t>
      </w:r>
      <w:r>
        <w:rPr>
          <w:rFonts w:hint="eastAsia" w:ascii="仿宋_GB2312" w:hAnsi="仿宋_GB2312" w:eastAsia="仿宋_GB2312" w:cs="仿宋_GB2312"/>
          <w:sz w:val="32"/>
          <w:szCs w:val="32"/>
          <w:highlight w:val="none"/>
        </w:rPr>
        <w:t>2</w:t>
      </w:r>
      <w:bookmarkStart w:id="302" w:name="OLE_LINK92"/>
      <w:r>
        <w:rPr>
          <w:rFonts w:hint="eastAsia" w:ascii="仿宋_GB2312" w:hAnsi="仿宋_GB2312" w:eastAsia="仿宋_GB2312" w:cs="仿宋_GB2312"/>
          <w:sz w:val="32"/>
          <w:szCs w:val="32"/>
          <w:highlight w:val="none"/>
        </w:rPr>
        <w:t>个，</w:t>
      </w:r>
      <w:bookmarkEnd w:id="301"/>
      <w:bookmarkEnd w:id="302"/>
      <w:r>
        <w:rPr>
          <w:rFonts w:hint="eastAsia" w:ascii="仿宋_GB2312" w:hAnsi="仿宋_GB2312" w:eastAsia="仿宋_GB2312" w:cs="仿宋_GB2312"/>
          <w:sz w:val="32"/>
          <w:szCs w:val="32"/>
          <w:highlight w:val="none"/>
        </w:rPr>
        <w:t>情况如下：</w:t>
      </w:r>
    </w:p>
    <w:p w14:paraId="5AED4CB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规模化供水工程：1处水源及取水工程，1处输配水工程。主要工程内容为冈上水厂取水设施改造、新建DMA分区计量、测压设施。</w:t>
      </w:r>
    </w:p>
    <w:p w14:paraId="5E767BC8">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2026年共整治45个，情况如下：</w:t>
      </w:r>
    </w:p>
    <w:p w14:paraId="36EF067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规模化供水工程：1处水源及取水工程，7处输配水工程，2处净水工程。主要工程内容为黄马水厂取水设施及滤池改造、武阳水厂滤池改造、新建塔城和广福加压泵站、新建7个水厂DMA分区计量、测压设施、新建银三角水厂、规模化供水工程管网延伸等。</w:t>
      </w:r>
    </w:p>
    <w:p w14:paraId="4F0D9E6C">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单户分散式供水工程：34个，主要工程内容为规模化供水管网延伸、建设入户管等</w:t>
      </w:r>
      <w:r>
        <w:rPr>
          <w:rFonts w:hint="eastAsia" w:ascii="仿宋_GB2312" w:hAnsi="仿宋_GB2312" w:eastAsia="仿宋_GB2312" w:cs="仿宋_GB2312"/>
          <w:sz w:val="32"/>
          <w:szCs w:val="32"/>
          <w:highlight w:val="none"/>
          <w:lang w:eastAsia="zh-CN"/>
        </w:rPr>
        <w:t>。</w:t>
      </w:r>
    </w:p>
    <w:p w14:paraId="1EFD532A">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信息化工程：1个，主要建设内容为农村供水工程信息化平台。</w:t>
      </w:r>
    </w:p>
    <w:p w14:paraId="1C8A74A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实施计划详见下</w:t>
      </w: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REF_Ref216998537\h\*MERGEFORMAT</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表8</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8-3</w:t>
      </w: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REF_Ref215920791\h\*MERGEFORMAT</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sz w:val="32"/>
          <w:szCs w:val="32"/>
          <w:highlight w:val="none"/>
        </w:rPr>
        <w:t>。</w:t>
      </w:r>
    </w:p>
    <w:p w14:paraId="1E3A701B">
      <w:pPr>
        <w:pStyle w:val="14"/>
        <w:ind w:firstLine="0" w:firstLineChars="0"/>
        <w:jc w:val="center"/>
        <w:rPr>
          <w:rFonts w:hint="eastAsia" w:ascii="仿宋_GB2312" w:hAnsi="仿宋_GB2312" w:eastAsia="仿宋_GB2312" w:cs="仿宋_GB2312"/>
          <w:sz w:val="24"/>
          <w:szCs w:val="24"/>
          <w:highlight w:val="none"/>
        </w:rPr>
      </w:pPr>
      <w:bookmarkStart w:id="303" w:name="_Ref215920784"/>
      <w:r>
        <w:rPr>
          <w:rFonts w:hint="eastAsia" w:ascii="仿宋_GB2312" w:hAnsi="仿宋_GB2312" w:eastAsia="仿宋_GB2312" w:cs="仿宋_GB2312"/>
          <w:sz w:val="24"/>
          <w:szCs w:val="24"/>
          <w:highlight w:val="none"/>
        </w:rPr>
        <w:t>表</w:t>
      </w:r>
      <w:r>
        <w:rPr>
          <w:rFonts w:hint="eastAsia" w:ascii="仿宋_GB2312" w:hAnsi="仿宋_GB2312" w:eastAsia="仿宋_GB2312" w:cs="仿宋_GB2312"/>
          <w:sz w:val="24"/>
          <w:szCs w:val="24"/>
          <w:highlight w:val="none"/>
        </w:rPr>
        <w:fldChar w:fldCharType="begin"/>
      </w:r>
      <w:r>
        <w:rPr>
          <w:rFonts w:hint="eastAsia" w:ascii="仿宋_GB2312" w:hAnsi="仿宋_GB2312" w:eastAsia="仿宋_GB2312" w:cs="仿宋_GB2312"/>
          <w:sz w:val="24"/>
          <w:szCs w:val="24"/>
          <w:highlight w:val="none"/>
        </w:rPr>
        <w:instrText xml:space="preserve">STYLEREF 1\s</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z w:val="24"/>
          <w:szCs w:val="24"/>
          <w:highlight w:val="none"/>
        </w:rPr>
        <w:t>8</w:t>
      </w:r>
      <w:r>
        <w:rPr>
          <w:rFonts w:hint="eastAsia" w:ascii="仿宋_GB2312" w:hAnsi="仿宋_GB2312" w:eastAsia="仿宋_GB2312" w:cs="仿宋_GB2312"/>
          <w:sz w:val="24"/>
          <w:szCs w:val="24"/>
          <w:highlight w:val="none"/>
        </w:rPr>
        <w:fldChar w:fldCharType="end"/>
      </w:r>
      <w:r>
        <w:rPr>
          <w:rFonts w:hint="eastAsia" w:ascii="仿宋_GB2312" w:hAnsi="仿宋_GB2312" w:eastAsia="仿宋_GB2312" w:cs="仿宋_GB2312"/>
          <w:sz w:val="24"/>
          <w:szCs w:val="24"/>
          <w:highlight w:val="none"/>
          <w:lang w:val="en-US" w:eastAsia="zh-CN"/>
        </w:rPr>
        <w:t>-2</w:t>
      </w:r>
      <w:r>
        <w:rPr>
          <w:rFonts w:hint="eastAsia" w:ascii="仿宋_GB2312" w:hAnsi="仿宋_GB2312" w:eastAsia="仿宋_GB2312" w:cs="仿宋_GB2312"/>
          <w:sz w:val="24"/>
          <w:szCs w:val="24"/>
          <w:highlight w:val="none"/>
        </w:rPr>
        <w:t xml:space="preserve"> 202</w:t>
      </w:r>
      <w:r>
        <w:rPr>
          <w:rFonts w:hint="eastAsia" w:ascii="仿宋_GB2312" w:hAnsi="仿宋_GB2312" w:eastAsia="仿宋_GB2312" w:cs="仿宋_GB2312"/>
          <w:sz w:val="24"/>
          <w:szCs w:val="24"/>
          <w:highlight w:val="none"/>
          <w:lang w:val="en-US" w:eastAsia="zh-CN"/>
        </w:rPr>
        <w:t>5</w:t>
      </w:r>
      <w:r>
        <w:rPr>
          <w:rFonts w:hint="eastAsia" w:ascii="仿宋_GB2312" w:hAnsi="仿宋_GB2312" w:eastAsia="仿宋_GB2312" w:cs="仿宋_GB2312"/>
          <w:sz w:val="24"/>
          <w:szCs w:val="24"/>
          <w:highlight w:val="none"/>
        </w:rPr>
        <w:t>年实施计划表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61"/>
        <w:gridCol w:w="1273"/>
        <w:gridCol w:w="5872"/>
        <w:gridCol w:w="656"/>
      </w:tblGrid>
      <w:tr w14:paraId="4719B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1" w:type="dxa"/>
            <w:tcBorders>
              <w:top w:val="single" w:color="auto" w:sz="4" w:space="0"/>
              <w:left w:val="single" w:color="auto" w:sz="4" w:space="0"/>
              <w:bottom w:val="single" w:color="auto" w:sz="4" w:space="0"/>
              <w:right w:val="single" w:color="auto" w:sz="4" w:space="0"/>
            </w:tcBorders>
            <w:vAlign w:val="center"/>
          </w:tcPr>
          <w:p w14:paraId="216B6B61">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序号</w:t>
            </w:r>
          </w:p>
        </w:tc>
        <w:tc>
          <w:tcPr>
            <w:tcW w:w="1273" w:type="dxa"/>
            <w:tcBorders>
              <w:top w:val="single" w:color="auto" w:sz="4" w:space="0"/>
              <w:left w:val="single" w:color="auto" w:sz="4" w:space="0"/>
              <w:bottom w:val="single" w:color="auto" w:sz="4" w:space="0"/>
              <w:right w:val="single" w:color="auto" w:sz="4" w:space="0"/>
            </w:tcBorders>
            <w:vAlign w:val="center"/>
          </w:tcPr>
          <w:p w14:paraId="2FE47EB5">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工程名称</w:t>
            </w:r>
          </w:p>
        </w:tc>
        <w:tc>
          <w:tcPr>
            <w:tcW w:w="5872" w:type="dxa"/>
            <w:tcBorders>
              <w:top w:val="single" w:color="auto" w:sz="4" w:space="0"/>
              <w:left w:val="single" w:color="auto" w:sz="4" w:space="0"/>
              <w:bottom w:val="single" w:color="auto" w:sz="4" w:space="0"/>
              <w:right w:val="single" w:color="auto" w:sz="4" w:space="0"/>
            </w:tcBorders>
            <w:vAlign w:val="center"/>
          </w:tcPr>
          <w:p w14:paraId="58D5E7F6">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工程内容</w:t>
            </w:r>
          </w:p>
        </w:tc>
        <w:tc>
          <w:tcPr>
            <w:tcW w:w="0" w:type="auto"/>
            <w:tcBorders>
              <w:top w:val="single" w:color="auto" w:sz="4" w:space="0"/>
              <w:left w:val="single" w:color="auto" w:sz="4" w:space="0"/>
              <w:bottom w:val="single" w:color="auto" w:sz="4" w:space="0"/>
              <w:right w:val="single" w:color="auto" w:sz="4" w:space="0"/>
            </w:tcBorders>
            <w:vAlign w:val="center"/>
          </w:tcPr>
          <w:p w14:paraId="317B3FC6">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投资/万元</w:t>
            </w:r>
          </w:p>
        </w:tc>
      </w:tr>
      <w:tr w14:paraId="31568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1" w:type="dxa"/>
            <w:tcBorders>
              <w:top w:val="single" w:color="auto" w:sz="4" w:space="0"/>
              <w:left w:val="single" w:color="auto" w:sz="4" w:space="0"/>
              <w:bottom w:val="single" w:color="auto" w:sz="4" w:space="0"/>
              <w:right w:val="single" w:color="auto" w:sz="4" w:space="0"/>
            </w:tcBorders>
            <w:vAlign w:val="center"/>
          </w:tcPr>
          <w:p w14:paraId="76444BDA">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1</w:t>
            </w:r>
          </w:p>
        </w:tc>
        <w:tc>
          <w:tcPr>
            <w:tcW w:w="1273" w:type="dxa"/>
            <w:tcBorders>
              <w:top w:val="single" w:color="auto" w:sz="4" w:space="0"/>
              <w:left w:val="single" w:color="auto" w:sz="4" w:space="0"/>
              <w:right w:val="single" w:color="auto" w:sz="4" w:space="0"/>
            </w:tcBorders>
            <w:vAlign w:val="center"/>
          </w:tcPr>
          <w:p w14:paraId="55EE9658">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冈上水厂</w:t>
            </w:r>
          </w:p>
        </w:tc>
        <w:tc>
          <w:tcPr>
            <w:tcW w:w="5872" w:type="dxa"/>
            <w:tcBorders>
              <w:top w:val="single" w:color="auto" w:sz="4" w:space="0"/>
              <w:left w:val="single" w:color="auto" w:sz="4" w:space="0"/>
              <w:bottom w:val="single" w:color="auto" w:sz="4" w:space="0"/>
              <w:right w:val="single" w:color="auto" w:sz="4" w:space="0"/>
            </w:tcBorders>
            <w:vAlign w:val="center"/>
          </w:tcPr>
          <w:p w14:paraId="66297855">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离心泵Q=155 m</w:t>
            </w:r>
            <w:r>
              <w:rPr>
                <w:rFonts w:hint="eastAsia" w:ascii="仿宋_GB2312" w:hAnsi="仿宋_GB2312" w:eastAsia="仿宋_GB2312" w:cs="仿宋_GB2312"/>
                <w:color w:val="000000"/>
                <w:sz w:val="24"/>
                <w:szCs w:val="24"/>
                <w:highlight w:val="none"/>
                <w:vertAlign w:val="superscript"/>
              </w:rPr>
              <w:t>3</w:t>
            </w:r>
            <w:r>
              <w:rPr>
                <w:rFonts w:hint="eastAsia" w:ascii="仿宋_GB2312" w:hAnsi="仿宋_GB2312" w:eastAsia="仿宋_GB2312" w:cs="仿宋_GB2312"/>
                <w:color w:val="000000"/>
                <w:sz w:val="24"/>
                <w:szCs w:val="24"/>
                <w:highlight w:val="none"/>
              </w:rPr>
              <w:t>/h H=16.7 m，球墨铸铁，2台；配套电机：N=15 kW 380V，2台（1用1备）；离心泵Q=76 m</w:t>
            </w:r>
            <w:r>
              <w:rPr>
                <w:rFonts w:hint="eastAsia" w:ascii="仿宋_GB2312" w:hAnsi="仿宋_GB2312" w:eastAsia="仿宋_GB2312" w:cs="仿宋_GB2312"/>
                <w:color w:val="000000"/>
                <w:sz w:val="24"/>
                <w:szCs w:val="24"/>
                <w:highlight w:val="none"/>
                <w:vertAlign w:val="superscript"/>
              </w:rPr>
              <w:t>3</w:t>
            </w:r>
            <w:r>
              <w:rPr>
                <w:rFonts w:hint="eastAsia" w:ascii="仿宋_GB2312" w:hAnsi="仿宋_GB2312" w:eastAsia="仿宋_GB2312" w:cs="仿宋_GB2312"/>
                <w:color w:val="000000"/>
                <w:sz w:val="24"/>
                <w:szCs w:val="24"/>
                <w:highlight w:val="none"/>
              </w:rPr>
              <w:t>/h H=16.7 m，球墨铸铁，1台；配套电机：N=7.5 kW 380V，1台。</w:t>
            </w:r>
          </w:p>
        </w:tc>
        <w:tc>
          <w:tcPr>
            <w:tcW w:w="0" w:type="auto"/>
            <w:tcBorders>
              <w:top w:val="single" w:color="auto" w:sz="4" w:space="0"/>
              <w:left w:val="single" w:color="auto" w:sz="4" w:space="0"/>
              <w:bottom w:val="single" w:color="auto" w:sz="4" w:space="0"/>
              <w:right w:val="single" w:color="auto" w:sz="4" w:space="0"/>
            </w:tcBorders>
            <w:vAlign w:val="center"/>
          </w:tcPr>
          <w:p w14:paraId="0B233C30">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50</w:t>
            </w:r>
          </w:p>
        </w:tc>
      </w:tr>
      <w:tr w14:paraId="5BFBF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1" w:type="dxa"/>
            <w:tcBorders>
              <w:top w:val="single" w:color="auto" w:sz="4" w:space="0"/>
              <w:left w:val="single" w:color="auto" w:sz="4" w:space="0"/>
              <w:bottom w:val="single" w:color="auto" w:sz="4" w:space="0"/>
              <w:right w:val="single" w:color="auto" w:sz="4" w:space="0"/>
            </w:tcBorders>
            <w:vAlign w:val="center"/>
          </w:tcPr>
          <w:p w14:paraId="6BB6C645">
            <w:pPr>
              <w:ind w:firstLine="0" w:firstLineChars="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2</w:t>
            </w:r>
          </w:p>
        </w:tc>
        <w:tc>
          <w:tcPr>
            <w:tcW w:w="1273" w:type="dxa"/>
            <w:tcBorders>
              <w:left w:val="single" w:color="auto" w:sz="4" w:space="0"/>
              <w:right w:val="single" w:color="auto" w:sz="4" w:space="0"/>
            </w:tcBorders>
            <w:vAlign w:val="center"/>
          </w:tcPr>
          <w:p w14:paraId="597E316E">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冈上水厂</w:t>
            </w:r>
          </w:p>
        </w:tc>
        <w:tc>
          <w:tcPr>
            <w:tcW w:w="5872" w:type="dxa"/>
            <w:tcBorders>
              <w:top w:val="single" w:color="auto" w:sz="4" w:space="0"/>
              <w:left w:val="single" w:color="auto" w:sz="4" w:space="0"/>
              <w:bottom w:val="single" w:color="auto" w:sz="4" w:space="0"/>
              <w:right w:val="single" w:color="auto" w:sz="4" w:space="0"/>
            </w:tcBorders>
            <w:vAlign w:val="center"/>
          </w:tcPr>
          <w:p w14:paraId="39E9CA04">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DN300远传电磁流量计（带压力监测模块）1套；DN200远传电磁流量计（带压力监测模块）2套；DN150远传电磁流量计（带压力监测模块）3套；</w:t>
            </w:r>
          </w:p>
        </w:tc>
        <w:tc>
          <w:tcPr>
            <w:tcW w:w="656" w:type="dxa"/>
            <w:tcBorders>
              <w:top w:val="single" w:color="auto" w:sz="4" w:space="0"/>
              <w:left w:val="single" w:color="auto" w:sz="4" w:space="0"/>
              <w:bottom w:val="single" w:color="auto" w:sz="4" w:space="0"/>
              <w:right w:val="single" w:color="auto" w:sz="4" w:space="0"/>
            </w:tcBorders>
            <w:vAlign w:val="center"/>
          </w:tcPr>
          <w:p w14:paraId="0DFA4BA3">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20.2</w:t>
            </w:r>
          </w:p>
        </w:tc>
      </w:tr>
      <w:tr w14:paraId="60E75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1" w:type="dxa"/>
            <w:tcBorders>
              <w:top w:val="single" w:color="auto" w:sz="4" w:space="0"/>
              <w:left w:val="single" w:color="auto" w:sz="4" w:space="0"/>
              <w:bottom w:val="single" w:color="auto" w:sz="4" w:space="0"/>
              <w:right w:val="single" w:color="auto" w:sz="4" w:space="0"/>
            </w:tcBorders>
            <w:vAlign w:val="center"/>
          </w:tcPr>
          <w:p w14:paraId="6722D4DC">
            <w:pPr>
              <w:ind w:firstLine="0" w:firstLineChars="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合计</w:t>
            </w:r>
          </w:p>
        </w:tc>
        <w:tc>
          <w:tcPr>
            <w:tcW w:w="1273" w:type="dxa"/>
            <w:tcBorders>
              <w:left w:val="single" w:color="auto" w:sz="4" w:space="0"/>
              <w:bottom w:val="single" w:color="auto" w:sz="4" w:space="0"/>
              <w:right w:val="single" w:color="auto" w:sz="4" w:space="0"/>
            </w:tcBorders>
            <w:vAlign w:val="center"/>
          </w:tcPr>
          <w:p w14:paraId="28A371D2">
            <w:pPr>
              <w:ind w:firstLine="0" w:firstLineChars="0"/>
              <w:rPr>
                <w:rFonts w:hint="eastAsia" w:ascii="仿宋_GB2312" w:hAnsi="仿宋_GB2312" w:eastAsia="仿宋_GB2312" w:cs="仿宋_GB2312"/>
                <w:color w:val="000000"/>
                <w:sz w:val="24"/>
                <w:szCs w:val="24"/>
                <w:highlight w:val="none"/>
              </w:rPr>
            </w:pPr>
          </w:p>
        </w:tc>
        <w:tc>
          <w:tcPr>
            <w:tcW w:w="5872" w:type="dxa"/>
            <w:tcBorders>
              <w:top w:val="single" w:color="auto" w:sz="4" w:space="0"/>
              <w:left w:val="single" w:color="auto" w:sz="4" w:space="0"/>
              <w:bottom w:val="single" w:color="auto" w:sz="4" w:space="0"/>
              <w:right w:val="single" w:color="auto" w:sz="4" w:space="0"/>
            </w:tcBorders>
            <w:vAlign w:val="center"/>
          </w:tcPr>
          <w:p w14:paraId="6C8E0786">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w:t>
            </w:r>
          </w:p>
        </w:tc>
        <w:tc>
          <w:tcPr>
            <w:tcW w:w="656" w:type="dxa"/>
            <w:tcBorders>
              <w:top w:val="single" w:color="auto" w:sz="4" w:space="0"/>
              <w:left w:val="single" w:color="auto" w:sz="4" w:space="0"/>
              <w:bottom w:val="single" w:color="auto" w:sz="4" w:space="0"/>
              <w:right w:val="single" w:color="auto" w:sz="4" w:space="0"/>
            </w:tcBorders>
            <w:vAlign w:val="center"/>
          </w:tcPr>
          <w:p w14:paraId="37F4F977">
            <w:pPr>
              <w:ind w:firstLine="0" w:firstLineChars="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70.2</w:t>
            </w:r>
          </w:p>
        </w:tc>
      </w:tr>
    </w:tbl>
    <w:p w14:paraId="195EA79C">
      <w:pPr>
        <w:spacing w:before="156"/>
        <w:ind w:firstLine="0" w:firstLineChars="0"/>
        <w:jc w:val="center"/>
        <w:rPr>
          <w:rFonts w:hint="eastAsia" w:ascii="仿宋_GB2312" w:hAnsi="仿宋_GB2312" w:eastAsia="仿宋_GB2312" w:cs="仿宋_GB2312"/>
          <w:sz w:val="24"/>
          <w:szCs w:val="24"/>
          <w:highlight w:val="none"/>
        </w:rPr>
      </w:pPr>
    </w:p>
    <w:p w14:paraId="06A995FE">
      <w:pPr>
        <w:spacing w:before="156"/>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表</w:t>
      </w:r>
      <w:r>
        <w:rPr>
          <w:rFonts w:hint="eastAsia" w:ascii="仿宋_GB2312" w:hAnsi="仿宋_GB2312" w:eastAsia="仿宋_GB2312" w:cs="仿宋_GB2312"/>
          <w:sz w:val="24"/>
          <w:szCs w:val="24"/>
          <w:highlight w:val="none"/>
        </w:rPr>
        <w:fldChar w:fldCharType="begin"/>
      </w:r>
      <w:r>
        <w:rPr>
          <w:rFonts w:hint="eastAsia" w:ascii="仿宋_GB2312" w:hAnsi="仿宋_GB2312" w:eastAsia="仿宋_GB2312" w:cs="仿宋_GB2312"/>
          <w:sz w:val="24"/>
          <w:szCs w:val="24"/>
          <w:highlight w:val="none"/>
        </w:rPr>
        <w:instrText xml:space="preserve">STYLEREF 1\s</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z w:val="24"/>
          <w:szCs w:val="24"/>
          <w:highlight w:val="none"/>
        </w:rPr>
        <w:t>8</w:t>
      </w:r>
      <w:r>
        <w:rPr>
          <w:rFonts w:hint="eastAsia" w:ascii="仿宋_GB2312" w:hAnsi="仿宋_GB2312" w:eastAsia="仿宋_GB2312" w:cs="仿宋_GB2312"/>
          <w:sz w:val="24"/>
          <w:szCs w:val="24"/>
          <w:highlight w:val="none"/>
        </w:rPr>
        <w:fldChar w:fldCharType="end"/>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sz w:val="24"/>
          <w:szCs w:val="24"/>
          <w:highlight w:val="none"/>
        </w:rPr>
        <w:fldChar w:fldCharType="begin"/>
      </w:r>
      <w:r>
        <w:rPr>
          <w:rFonts w:hint="eastAsia" w:ascii="仿宋_GB2312" w:hAnsi="仿宋_GB2312" w:eastAsia="仿宋_GB2312" w:cs="仿宋_GB2312"/>
          <w:sz w:val="24"/>
          <w:szCs w:val="24"/>
          <w:highlight w:val="none"/>
        </w:rPr>
        <w:instrText xml:space="preserve">SEQ表\*ARABIC\s 1</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sz w:val="24"/>
          <w:szCs w:val="24"/>
          <w:highlight w:val="none"/>
        </w:rPr>
        <w:t>2</w:t>
      </w:r>
      <w:r>
        <w:rPr>
          <w:rFonts w:hint="eastAsia" w:ascii="仿宋_GB2312" w:hAnsi="仿宋_GB2312" w:eastAsia="仿宋_GB2312" w:cs="仿宋_GB2312"/>
          <w:sz w:val="24"/>
          <w:szCs w:val="24"/>
          <w:highlight w:val="none"/>
        </w:rPr>
        <w:fldChar w:fldCharType="end"/>
      </w:r>
      <w:bookmarkEnd w:id="303"/>
      <w:bookmarkStart w:id="304" w:name="OLE_LINK7"/>
      <w:r>
        <w:rPr>
          <w:rFonts w:hint="eastAsia" w:ascii="仿宋_GB2312" w:hAnsi="仿宋_GB2312" w:eastAsia="仿宋_GB2312" w:cs="仿宋_GB2312"/>
          <w:sz w:val="24"/>
          <w:szCs w:val="24"/>
          <w:highlight w:val="none"/>
          <w:lang w:val="en-US" w:eastAsia="zh-CN"/>
        </w:rPr>
        <w:t xml:space="preserve"> </w:t>
      </w:r>
      <w:r>
        <w:rPr>
          <w:rFonts w:hint="eastAsia" w:ascii="仿宋_GB2312" w:hAnsi="仿宋_GB2312" w:eastAsia="仿宋_GB2312" w:cs="仿宋_GB2312"/>
          <w:sz w:val="24"/>
          <w:szCs w:val="24"/>
          <w:highlight w:val="none"/>
        </w:rPr>
        <w:t>202</w:t>
      </w:r>
      <w:r>
        <w:rPr>
          <w:rFonts w:hint="eastAsia" w:ascii="仿宋_GB2312" w:hAnsi="仿宋_GB2312" w:eastAsia="仿宋_GB2312" w:cs="仿宋_GB2312"/>
          <w:sz w:val="24"/>
          <w:szCs w:val="24"/>
          <w:highlight w:val="none"/>
          <w:lang w:val="en-US" w:eastAsia="zh-CN"/>
        </w:rPr>
        <w:t>6</w:t>
      </w:r>
      <w:r>
        <w:rPr>
          <w:rFonts w:hint="eastAsia" w:ascii="仿宋_GB2312" w:hAnsi="仿宋_GB2312" w:eastAsia="仿宋_GB2312" w:cs="仿宋_GB2312"/>
          <w:sz w:val="24"/>
          <w:szCs w:val="24"/>
          <w:highlight w:val="none"/>
        </w:rPr>
        <w:t>年实施计划表</w:t>
      </w:r>
      <w:bookmarkEnd w:id="304"/>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62"/>
        <w:gridCol w:w="1560"/>
        <w:gridCol w:w="5436"/>
        <w:gridCol w:w="804"/>
      </w:tblGrid>
      <w:tr w14:paraId="513A1A5B">
        <w:tblPrEx>
          <w:tblCellMar>
            <w:top w:w="0" w:type="dxa"/>
            <w:left w:w="28" w:type="dxa"/>
            <w:bottom w:w="0" w:type="dxa"/>
            <w:right w:w="28" w:type="dxa"/>
          </w:tblCellMar>
        </w:tblPrEx>
        <w:tc>
          <w:tcPr>
            <w:tcW w:w="562" w:type="dxa"/>
            <w:vAlign w:val="center"/>
          </w:tcPr>
          <w:p w14:paraId="32EBDFA8">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序号</w:t>
            </w:r>
          </w:p>
        </w:tc>
        <w:tc>
          <w:tcPr>
            <w:tcW w:w="1560" w:type="dxa"/>
            <w:vAlign w:val="center"/>
          </w:tcPr>
          <w:p w14:paraId="1DEFF438">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工程名称</w:t>
            </w:r>
          </w:p>
        </w:tc>
        <w:tc>
          <w:tcPr>
            <w:tcW w:w="5436" w:type="dxa"/>
            <w:vAlign w:val="center"/>
          </w:tcPr>
          <w:p w14:paraId="1978C710">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工程内容</w:t>
            </w:r>
          </w:p>
        </w:tc>
        <w:tc>
          <w:tcPr>
            <w:tcW w:w="0" w:type="auto"/>
            <w:vAlign w:val="center"/>
          </w:tcPr>
          <w:p w14:paraId="49796590">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投资/万元</w:t>
            </w:r>
          </w:p>
        </w:tc>
      </w:tr>
      <w:tr w14:paraId="38FCB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2" w:type="dxa"/>
            <w:vAlign w:val="center"/>
          </w:tcPr>
          <w:p w14:paraId="3D11F51E">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1</w:t>
            </w:r>
          </w:p>
        </w:tc>
        <w:tc>
          <w:tcPr>
            <w:tcW w:w="1560" w:type="dxa"/>
            <w:vAlign w:val="center"/>
          </w:tcPr>
          <w:p w14:paraId="74F5547D">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黄马水厂</w:t>
            </w:r>
          </w:p>
        </w:tc>
        <w:tc>
          <w:tcPr>
            <w:tcW w:w="5436" w:type="dxa"/>
            <w:vAlign w:val="center"/>
          </w:tcPr>
          <w:p w14:paraId="02B74264">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引水管：3根，DN300PE管，总长约30m；简易取水头部，规格：1mx3m，H=3m</w:t>
            </w:r>
          </w:p>
        </w:tc>
        <w:tc>
          <w:tcPr>
            <w:tcW w:w="0" w:type="auto"/>
            <w:vAlign w:val="center"/>
          </w:tcPr>
          <w:p w14:paraId="4B7A96EC">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5</w:t>
            </w:r>
          </w:p>
        </w:tc>
      </w:tr>
      <w:tr w14:paraId="5F401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2" w:type="dxa"/>
            <w:vAlign w:val="center"/>
          </w:tcPr>
          <w:p w14:paraId="51E2D02C">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2</w:t>
            </w:r>
          </w:p>
        </w:tc>
        <w:tc>
          <w:tcPr>
            <w:tcW w:w="1560" w:type="dxa"/>
            <w:vAlign w:val="center"/>
          </w:tcPr>
          <w:p w14:paraId="055901D4">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黄马水厂</w:t>
            </w:r>
          </w:p>
        </w:tc>
        <w:tc>
          <w:tcPr>
            <w:tcW w:w="5436" w:type="dxa"/>
            <w:vAlign w:val="center"/>
          </w:tcPr>
          <w:p w14:paraId="42A7CD53">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滤池改造，包括配水板、支撑结构及滤池滤料2000 t</w:t>
            </w:r>
          </w:p>
        </w:tc>
        <w:tc>
          <w:tcPr>
            <w:tcW w:w="0" w:type="auto"/>
            <w:vAlign w:val="center"/>
          </w:tcPr>
          <w:p w14:paraId="3A7CC28B">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40</w:t>
            </w:r>
          </w:p>
        </w:tc>
      </w:tr>
      <w:tr w14:paraId="13ECD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2" w:type="dxa"/>
            <w:vAlign w:val="center"/>
          </w:tcPr>
          <w:p w14:paraId="399AB0F6">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3</w:t>
            </w:r>
          </w:p>
        </w:tc>
        <w:tc>
          <w:tcPr>
            <w:tcW w:w="1560" w:type="dxa"/>
            <w:vAlign w:val="center"/>
          </w:tcPr>
          <w:p w14:paraId="7E839957">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武阳水厂</w:t>
            </w:r>
          </w:p>
        </w:tc>
        <w:tc>
          <w:tcPr>
            <w:tcW w:w="5436" w:type="dxa"/>
            <w:vAlign w:val="center"/>
          </w:tcPr>
          <w:p w14:paraId="199EA5DB">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滤池改造，包括配水板、支撑结构及滤池滤料5000 t</w:t>
            </w:r>
          </w:p>
        </w:tc>
        <w:tc>
          <w:tcPr>
            <w:tcW w:w="0" w:type="auto"/>
            <w:vAlign w:val="center"/>
          </w:tcPr>
          <w:p w14:paraId="764D70C9">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100</w:t>
            </w:r>
          </w:p>
        </w:tc>
      </w:tr>
      <w:tr w14:paraId="56BC7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 w:hRule="atLeast"/>
        </w:trPr>
        <w:tc>
          <w:tcPr>
            <w:tcW w:w="562" w:type="dxa"/>
            <w:vMerge w:val="restart"/>
            <w:vAlign w:val="center"/>
          </w:tcPr>
          <w:p w14:paraId="74B38EA3">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kern w:val="2"/>
                <w:sz w:val="24"/>
                <w:szCs w:val="24"/>
                <w:highlight w:val="none"/>
                <w:lang w:val="en-US" w:eastAsia="zh-CN" w:bidi="ar-SA"/>
              </w:rPr>
              <w:t>4</w:t>
            </w:r>
          </w:p>
        </w:tc>
        <w:tc>
          <w:tcPr>
            <w:tcW w:w="1560" w:type="dxa"/>
            <w:vMerge w:val="restart"/>
            <w:vAlign w:val="center"/>
          </w:tcPr>
          <w:p w14:paraId="730B2094">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武阳水厂</w:t>
            </w:r>
          </w:p>
        </w:tc>
        <w:tc>
          <w:tcPr>
            <w:tcW w:w="5436" w:type="dxa"/>
            <w:vAlign w:val="center"/>
          </w:tcPr>
          <w:p w14:paraId="7FA9A8A7">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新建塔城加压泵站（0.35万m</w:t>
            </w:r>
            <w:r>
              <w:rPr>
                <w:rFonts w:hint="eastAsia" w:ascii="仿宋_GB2312" w:hAnsi="仿宋_GB2312" w:eastAsia="仿宋_GB2312" w:cs="仿宋_GB2312"/>
                <w:color w:val="000000"/>
                <w:sz w:val="24"/>
                <w:szCs w:val="24"/>
                <w:highlight w:val="none"/>
                <w:vertAlign w:val="superscript"/>
              </w:rPr>
              <w:t>3</w:t>
            </w:r>
            <w:r>
              <w:rPr>
                <w:rFonts w:hint="eastAsia" w:ascii="仿宋_GB2312" w:hAnsi="仿宋_GB2312" w:eastAsia="仿宋_GB2312" w:cs="仿宋_GB2312"/>
                <w:color w:val="000000"/>
                <w:sz w:val="24"/>
                <w:szCs w:val="24"/>
                <w:highlight w:val="none"/>
              </w:rPr>
              <w:t>/d），主要建设内容：送水泵房，预留清水池用地；送水泵房、加药间、配电间合建为综合管理房，其中泵房采用地上式结构，共设5台泵位，采用成套无负压供水设备，设置5台水泵，4用1备；系统设计流量Q＝240 m</w:t>
            </w:r>
            <w:r>
              <w:rPr>
                <w:rFonts w:hint="eastAsia" w:ascii="仿宋_GB2312" w:hAnsi="仿宋_GB2312" w:eastAsia="仿宋_GB2312" w:cs="仿宋_GB2312"/>
                <w:color w:val="000000"/>
                <w:sz w:val="24"/>
                <w:szCs w:val="24"/>
                <w:highlight w:val="none"/>
                <w:vertAlign w:val="superscript"/>
              </w:rPr>
              <w:t>3</w:t>
            </w:r>
            <w:r>
              <w:rPr>
                <w:rFonts w:hint="eastAsia" w:ascii="仿宋_GB2312" w:hAnsi="仿宋_GB2312" w:eastAsia="仿宋_GB2312" w:cs="仿宋_GB2312"/>
                <w:color w:val="000000"/>
                <w:sz w:val="24"/>
                <w:szCs w:val="24"/>
                <w:highlight w:val="none"/>
              </w:rPr>
              <w:t>/h，H＝31.0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37.0 m，单台水泵配电机功率：Pe＝7.5 kW。</w:t>
            </w:r>
          </w:p>
        </w:tc>
        <w:tc>
          <w:tcPr>
            <w:tcW w:w="804" w:type="dxa"/>
            <w:vAlign w:val="center"/>
          </w:tcPr>
          <w:p w14:paraId="3887FA65">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260</w:t>
            </w:r>
          </w:p>
        </w:tc>
      </w:tr>
      <w:tr w14:paraId="1B5D4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562" w:type="dxa"/>
            <w:vMerge w:val="continue"/>
            <w:vAlign w:val="center"/>
          </w:tcPr>
          <w:p w14:paraId="1088AEB5">
            <w:pPr>
              <w:ind w:firstLine="0" w:firstLineChars="0"/>
              <w:jc w:val="center"/>
              <w:rPr>
                <w:rFonts w:hint="eastAsia" w:ascii="仿宋_GB2312" w:hAnsi="仿宋_GB2312" w:eastAsia="仿宋_GB2312" w:cs="仿宋_GB2312"/>
                <w:color w:val="000000"/>
                <w:sz w:val="24"/>
                <w:szCs w:val="24"/>
                <w:highlight w:val="none"/>
              </w:rPr>
            </w:pPr>
          </w:p>
        </w:tc>
        <w:tc>
          <w:tcPr>
            <w:tcW w:w="1560" w:type="dxa"/>
            <w:vMerge w:val="continue"/>
            <w:vAlign w:val="center"/>
          </w:tcPr>
          <w:p w14:paraId="25747C22">
            <w:pPr>
              <w:ind w:firstLine="0" w:firstLineChars="0"/>
              <w:rPr>
                <w:rFonts w:hint="eastAsia" w:ascii="仿宋_GB2312" w:hAnsi="仿宋_GB2312" w:eastAsia="仿宋_GB2312" w:cs="仿宋_GB2312"/>
                <w:color w:val="000000"/>
                <w:sz w:val="24"/>
                <w:szCs w:val="24"/>
                <w:highlight w:val="none"/>
              </w:rPr>
            </w:pPr>
          </w:p>
        </w:tc>
        <w:tc>
          <w:tcPr>
            <w:tcW w:w="5436" w:type="dxa"/>
            <w:vAlign w:val="center"/>
          </w:tcPr>
          <w:p w14:paraId="585230DC">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新建银三角水厂：近期规模为10万m</w:t>
            </w:r>
            <w:r>
              <w:rPr>
                <w:rFonts w:hint="eastAsia" w:ascii="仿宋_GB2312" w:hAnsi="仿宋_GB2312" w:eastAsia="仿宋_GB2312" w:cs="仿宋_GB2312"/>
                <w:color w:val="000000"/>
                <w:sz w:val="24"/>
                <w:szCs w:val="24"/>
                <w:highlight w:val="none"/>
                <w:vertAlign w:val="superscript"/>
              </w:rPr>
              <w:t>3</w:t>
            </w:r>
            <w:r>
              <w:rPr>
                <w:rFonts w:hint="eastAsia" w:ascii="仿宋_GB2312" w:hAnsi="仿宋_GB2312" w:eastAsia="仿宋_GB2312" w:cs="仿宋_GB2312"/>
                <w:color w:val="000000"/>
                <w:sz w:val="24"/>
                <w:szCs w:val="24"/>
                <w:highlight w:val="none"/>
              </w:rPr>
              <w:t>/d，远期规模为20万m</w:t>
            </w:r>
            <w:r>
              <w:rPr>
                <w:rFonts w:hint="eastAsia" w:ascii="仿宋_GB2312" w:hAnsi="仿宋_GB2312" w:eastAsia="仿宋_GB2312" w:cs="仿宋_GB2312"/>
                <w:color w:val="000000"/>
                <w:sz w:val="24"/>
                <w:szCs w:val="24"/>
                <w:highlight w:val="none"/>
                <w:vertAlign w:val="superscript"/>
              </w:rPr>
              <w:t>3</w:t>
            </w:r>
            <w:r>
              <w:rPr>
                <w:rFonts w:hint="eastAsia" w:ascii="仿宋_GB2312" w:hAnsi="仿宋_GB2312" w:eastAsia="仿宋_GB2312" w:cs="仿宋_GB2312"/>
                <w:color w:val="000000"/>
                <w:sz w:val="24"/>
                <w:szCs w:val="24"/>
                <w:highlight w:val="none"/>
              </w:rPr>
              <w:t>/d。工程主要内容有取水工程，净水工程及废水处理工程，分期建设；</w:t>
            </w:r>
          </w:p>
          <w:p w14:paraId="70463B3B">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银三角水厂至武阳输水干管：管径DN600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DN800，管长约7.2 km。</w:t>
            </w:r>
          </w:p>
        </w:tc>
        <w:tc>
          <w:tcPr>
            <w:tcW w:w="804" w:type="dxa"/>
            <w:vAlign w:val="center"/>
          </w:tcPr>
          <w:p w14:paraId="449366CC">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18748</w:t>
            </w:r>
          </w:p>
        </w:tc>
      </w:tr>
      <w:tr w14:paraId="0DF45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 w:hRule="atLeast"/>
        </w:trPr>
        <w:tc>
          <w:tcPr>
            <w:tcW w:w="562" w:type="dxa"/>
            <w:vMerge w:val="continue"/>
            <w:vAlign w:val="center"/>
          </w:tcPr>
          <w:p w14:paraId="7312D3FE">
            <w:pPr>
              <w:ind w:firstLine="0" w:firstLineChars="0"/>
              <w:jc w:val="center"/>
              <w:rPr>
                <w:rFonts w:hint="eastAsia" w:ascii="仿宋_GB2312" w:hAnsi="仿宋_GB2312" w:eastAsia="仿宋_GB2312" w:cs="仿宋_GB2312"/>
                <w:color w:val="000000"/>
                <w:sz w:val="24"/>
                <w:szCs w:val="24"/>
                <w:highlight w:val="none"/>
                <w:lang w:eastAsia="zh-CN"/>
              </w:rPr>
            </w:pPr>
          </w:p>
        </w:tc>
        <w:tc>
          <w:tcPr>
            <w:tcW w:w="1560" w:type="dxa"/>
            <w:vMerge w:val="continue"/>
            <w:vAlign w:val="center"/>
          </w:tcPr>
          <w:p w14:paraId="2A9D2F27">
            <w:pPr>
              <w:ind w:firstLine="0" w:firstLineChars="0"/>
              <w:rPr>
                <w:rFonts w:hint="eastAsia" w:ascii="仿宋_GB2312" w:hAnsi="仿宋_GB2312" w:eastAsia="仿宋_GB2312" w:cs="仿宋_GB2312"/>
                <w:color w:val="000000"/>
                <w:sz w:val="24"/>
                <w:szCs w:val="24"/>
                <w:highlight w:val="none"/>
              </w:rPr>
            </w:pPr>
          </w:p>
        </w:tc>
        <w:tc>
          <w:tcPr>
            <w:tcW w:w="5436" w:type="dxa"/>
            <w:vAlign w:val="center"/>
          </w:tcPr>
          <w:p w14:paraId="33D783E7">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DN400远传电磁流量计（带压力监测模块）1套；DN300远传电磁流量计（带压力监测模块）2套；DN200远传电磁流量计（带压力监测模块）2套；DN150远传电磁流量计（带压力监测模块）4套；</w:t>
            </w:r>
          </w:p>
        </w:tc>
        <w:tc>
          <w:tcPr>
            <w:tcW w:w="804" w:type="dxa"/>
            <w:vAlign w:val="center"/>
          </w:tcPr>
          <w:p w14:paraId="57F035AA">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21.5</w:t>
            </w:r>
          </w:p>
        </w:tc>
      </w:tr>
      <w:tr w14:paraId="4987B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 w:hRule="atLeast"/>
        </w:trPr>
        <w:tc>
          <w:tcPr>
            <w:tcW w:w="562" w:type="dxa"/>
            <w:vAlign w:val="center"/>
          </w:tcPr>
          <w:p w14:paraId="54F2699B">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kern w:val="2"/>
                <w:sz w:val="24"/>
                <w:szCs w:val="24"/>
                <w:highlight w:val="none"/>
                <w:lang w:val="en-US" w:eastAsia="zh-CN" w:bidi="ar-SA"/>
              </w:rPr>
              <w:t>5</w:t>
            </w:r>
          </w:p>
        </w:tc>
        <w:tc>
          <w:tcPr>
            <w:tcW w:w="1560" w:type="dxa"/>
            <w:vAlign w:val="center"/>
          </w:tcPr>
          <w:p w14:paraId="1FA08A98">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向塘铁路水厂（广福镇和三江镇）</w:t>
            </w:r>
          </w:p>
        </w:tc>
        <w:tc>
          <w:tcPr>
            <w:tcW w:w="5436" w:type="dxa"/>
            <w:vAlign w:val="center"/>
          </w:tcPr>
          <w:p w14:paraId="178B2DE3">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新建广福加压泵站（1万m</w:t>
            </w:r>
            <w:r>
              <w:rPr>
                <w:rFonts w:hint="eastAsia" w:ascii="仿宋_GB2312" w:hAnsi="仿宋_GB2312" w:eastAsia="仿宋_GB2312" w:cs="仿宋_GB2312"/>
                <w:color w:val="000000"/>
                <w:sz w:val="24"/>
                <w:szCs w:val="24"/>
                <w:highlight w:val="none"/>
                <w:vertAlign w:val="superscript"/>
              </w:rPr>
              <w:t>3</w:t>
            </w:r>
            <w:r>
              <w:rPr>
                <w:rFonts w:hint="eastAsia" w:ascii="仿宋_GB2312" w:hAnsi="仿宋_GB2312" w:eastAsia="仿宋_GB2312" w:cs="仿宋_GB2312"/>
                <w:color w:val="000000"/>
                <w:sz w:val="24"/>
                <w:szCs w:val="24"/>
                <w:highlight w:val="none"/>
              </w:rPr>
              <w:t>/d），主要建设内容：清水池、送水泵房、泵站进出水管；一期安装2台大泵和2台小泵，3用1备，其中1台大泵备用，全部考虑变频控制；大泵特性参数为：Q＝300 m</w:t>
            </w:r>
            <w:r>
              <w:rPr>
                <w:rFonts w:hint="eastAsia" w:ascii="仿宋_GB2312" w:hAnsi="仿宋_GB2312" w:eastAsia="仿宋_GB2312" w:cs="仿宋_GB2312"/>
                <w:color w:val="000000"/>
                <w:sz w:val="24"/>
                <w:szCs w:val="24"/>
                <w:highlight w:val="none"/>
                <w:vertAlign w:val="superscript"/>
              </w:rPr>
              <w:t>3</w:t>
            </w:r>
            <w:r>
              <w:rPr>
                <w:rFonts w:hint="eastAsia" w:ascii="仿宋_GB2312" w:hAnsi="仿宋_GB2312" w:eastAsia="仿宋_GB2312" w:cs="仿宋_GB2312"/>
                <w:color w:val="000000"/>
                <w:sz w:val="24"/>
                <w:szCs w:val="24"/>
                <w:highlight w:val="none"/>
              </w:rPr>
              <w:t>/h，H＝36.0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45.0 m，配电机功率：Pe＝45 kW；小泵特性参数为：Q＝150 m</w:t>
            </w:r>
            <w:r>
              <w:rPr>
                <w:rFonts w:hint="eastAsia" w:ascii="仿宋_GB2312" w:hAnsi="仿宋_GB2312" w:eastAsia="仿宋_GB2312" w:cs="仿宋_GB2312"/>
                <w:color w:val="000000"/>
                <w:sz w:val="24"/>
                <w:szCs w:val="24"/>
                <w:highlight w:val="none"/>
                <w:vertAlign w:val="superscript"/>
              </w:rPr>
              <w:t>3</w:t>
            </w:r>
            <w:r>
              <w:rPr>
                <w:rFonts w:hint="eastAsia" w:ascii="仿宋_GB2312" w:hAnsi="仿宋_GB2312" w:eastAsia="仿宋_GB2312" w:cs="仿宋_GB2312"/>
                <w:color w:val="000000"/>
                <w:sz w:val="24"/>
                <w:szCs w:val="24"/>
                <w:highlight w:val="none"/>
              </w:rPr>
              <w:t>/h，H＝36.0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45.0 m，配电机功率：Pe＝37 kW。</w:t>
            </w:r>
          </w:p>
        </w:tc>
        <w:tc>
          <w:tcPr>
            <w:tcW w:w="804" w:type="dxa"/>
            <w:vAlign w:val="center"/>
          </w:tcPr>
          <w:p w14:paraId="766D2CA3">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450</w:t>
            </w:r>
          </w:p>
        </w:tc>
      </w:tr>
      <w:tr w14:paraId="513F8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 w:hRule="atLeast"/>
        </w:trPr>
        <w:tc>
          <w:tcPr>
            <w:tcW w:w="562" w:type="dxa"/>
            <w:vAlign w:val="center"/>
          </w:tcPr>
          <w:p w14:paraId="06895E65">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kern w:val="2"/>
                <w:sz w:val="24"/>
                <w:szCs w:val="24"/>
                <w:highlight w:val="none"/>
                <w:lang w:val="en-US" w:eastAsia="zh-CN" w:bidi="ar-SA"/>
              </w:rPr>
              <w:t>6</w:t>
            </w:r>
          </w:p>
        </w:tc>
        <w:tc>
          <w:tcPr>
            <w:tcW w:w="1560" w:type="dxa"/>
            <w:vAlign w:val="center"/>
          </w:tcPr>
          <w:p w14:paraId="7C8A7B51">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南新水厂（南新乡）</w:t>
            </w:r>
          </w:p>
        </w:tc>
        <w:tc>
          <w:tcPr>
            <w:tcW w:w="5436" w:type="dxa"/>
            <w:vAlign w:val="center"/>
          </w:tcPr>
          <w:p w14:paraId="1AE36741">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DN400远传电磁流量计（带压力监测模块）</w:t>
            </w:r>
            <w:r>
              <w:rPr>
                <w:rFonts w:hint="eastAsia" w:ascii="仿宋_GB2312" w:hAnsi="仿宋_GB2312" w:eastAsia="仿宋_GB2312" w:cs="仿宋_GB2312"/>
                <w:color w:val="000000"/>
                <w:sz w:val="24"/>
                <w:szCs w:val="24"/>
                <w:highlight w:val="none"/>
                <w:lang w:val="en-US" w:eastAsia="zh-CN"/>
              </w:rPr>
              <w:t>2</w:t>
            </w:r>
            <w:r>
              <w:rPr>
                <w:rFonts w:hint="eastAsia" w:ascii="仿宋_GB2312" w:hAnsi="仿宋_GB2312" w:eastAsia="仿宋_GB2312" w:cs="仿宋_GB2312"/>
                <w:color w:val="000000"/>
                <w:sz w:val="24"/>
                <w:szCs w:val="24"/>
                <w:highlight w:val="none"/>
              </w:rPr>
              <w:t>套；DN300远传电磁流量计（带压力监测模块）1套；DN200远传电磁流量计（带压力监测模块）</w:t>
            </w:r>
            <w:r>
              <w:rPr>
                <w:rFonts w:hint="eastAsia" w:ascii="仿宋_GB2312" w:hAnsi="仿宋_GB2312" w:eastAsia="仿宋_GB2312" w:cs="仿宋_GB2312"/>
                <w:color w:val="000000"/>
                <w:sz w:val="24"/>
                <w:szCs w:val="24"/>
                <w:highlight w:val="none"/>
                <w:lang w:val="en-US" w:eastAsia="zh-CN"/>
              </w:rPr>
              <w:t>5</w:t>
            </w:r>
            <w:r>
              <w:rPr>
                <w:rFonts w:hint="eastAsia" w:ascii="仿宋_GB2312" w:hAnsi="仿宋_GB2312" w:eastAsia="仿宋_GB2312" w:cs="仿宋_GB2312"/>
                <w:color w:val="000000"/>
                <w:sz w:val="24"/>
                <w:szCs w:val="24"/>
                <w:highlight w:val="none"/>
              </w:rPr>
              <w:t>套；DN150远传电磁流量计（带压力监测模块）</w:t>
            </w:r>
            <w:r>
              <w:rPr>
                <w:rFonts w:hint="eastAsia" w:ascii="仿宋_GB2312" w:hAnsi="仿宋_GB2312" w:eastAsia="仿宋_GB2312" w:cs="仿宋_GB2312"/>
                <w:color w:val="000000"/>
                <w:sz w:val="24"/>
                <w:szCs w:val="24"/>
                <w:highlight w:val="none"/>
                <w:lang w:val="en-US" w:eastAsia="zh-CN"/>
              </w:rPr>
              <w:t>2</w:t>
            </w:r>
            <w:r>
              <w:rPr>
                <w:rFonts w:hint="eastAsia" w:ascii="仿宋_GB2312" w:hAnsi="仿宋_GB2312" w:eastAsia="仿宋_GB2312" w:cs="仿宋_GB2312"/>
                <w:color w:val="000000"/>
                <w:sz w:val="24"/>
                <w:szCs w:val="24"/>
                <w:highlight w:val="none"/>
              </w:rPr>
              <w:t>套；DN100远传电磁流量计（带压力监测模块）2套；</w:t>
            </w:r>
          </w:p>
        </w:tc>
        <w:tc>
          <w:tcPr>
            <w:tcW w:w="804" w:type="dxa"/>
            <w:vAlign w:val="center"/>
          </w:tcPr>
          <w:p w14:paraId="2B4E9E25">
            <w:pPr>
              <w:ind w:firstLine="0" w:firstLineChars="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40.4</w:t>
            </w:r>
          </w:p>
        </w:tc>
      </w:tr>
      <w:tr w14:paraId="1D464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 w:hRule="atLeast"/>
        </w:trPr>
        <w:tc>
          <w:tcPr>
            <w:tcW w:w="562" w:type="dxa"/>
            <w:vAlign w:val="center"/>
          </w:tcPr>
          <w:p w14:paraId="514F6EDD">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kern w:val="2"/>
                <w:sz w:val="24"/>
                <w:szCs w:val="24"/>
                <w:highlight w:val="none"/>
                <w:lang w:val="en-US" w:eastAsia="zh-CN" w:bidi="ar-SA"/>
              </w:rPr>
              <w:t>7</w:t>
            </w:r>
          </w:p>
        </w:tc>
        <w:tc>
          <w:tcPr>
            <w:tcW w:w="1560" w:type="dxa"/>
            <w:vAlign w:val="center"/>
          </w:tcPr>
          <w:p w14:paraId="6C9ABAA2">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黄马水厂</w:t>
            </w:r>
          </w:p>
        </w:tc>
        <w:tc>
          <w:tcPr>
            <w:tcW w:w="5436" w:type="dxa"/>
            <w:vAlign w:val="center"/>
          </w:tcPr>
          <w:p w14:paraId="3B3FAA45">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DN300远传电磁流量计（带压力监测模块）1套；DN200远传电磁流量计（带压力监测模块）2套；DN150远传电磁流量计（带压力监测模块）1套；</w:t>
            </w:r>
          </w:p>
        </w:tc>
        <w:tc>
          <w:tcPr>
            <w:tcW w:w="804" w:type="dxa"/>
            <w:vAlign w:val="center"/>
          </w:tcPr>
          <w:p w14:paraId="311EE6C4">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14.2</w:t>
            </w:r>
          </w:p>
        </w:tc>
      </w:tr>
      <w:tr w14:paraId="68F8A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 w:hRule="atLeast"/>
        </w:trPr>
        <w:tc>
          <w:tcPr>
            <w:tcW w:w="562" w:type="dxa"/>
            <w:vAlign w:val="center"/>
          </w:tcPr>
          <w:p w14:paraId="47B11F64">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kern w:val="2"/>
                <w:sz w:val="24"/>
                <w:szCs w:val="24"/>
                <w:highlight w:val="none"/>
                <w:lang w:val="en-US" w:eastAsia="zh-CN" w:bidi="ar-SA"/>
              </w:rPr>
              <w:t>8</w:t>
            </w:r>
          </w:p>
        </w:tc>
        <w:tc>
          <w:tcPr>
            <w:tcW w:w="1560" w:type="dxa"/>
            <w:vAlign w:val="center"/>
          </w:tcPr>
          <w:p w14:paraId="613B3AF6">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泾口水厂</w:t>
            </w:r>
          </w:p>
        </w:tc>
        <w:tc>
          <w:tcPr>
            <w:tcW w:w="5436" w:type="dxa"/>
            <w:vAlign w:val="center"/>
          </w:tcPr>
          <w:p w14:paraId="7E3377E5">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DN300远传电磁流量计（带压力监测模块）1套；DN200远传电磁流量计（带压力监测模块）2套；DN150远传电磁流量计（带压力监测模块）1套；</w:t>
            </w:r>
          </w:p>
        </w:tc>
        <w:tc>
          <w:tcPr>
            <w:tcW w:w="804" w:type="dxa"/>
            <w:vAlign w:val="center"/>
          </w:tcPr>
          <w:p w14:paraId="11A20B26">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14.2</w:t>
            </w:r>
          </w:p>
        </w:tc>
      </w:tr>
      <w:tr w14:paraId="28F83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 w:hRule="atLeast"/>
        </w:trPr>
        <w:tc>
          <w:tcPr>
            <w:tcW w:w="562" w:type="dxa"/>
            <w:vAlign w:val="center"/>
          </w:tcPr>
          <w:p w14:paraId="5B835C4D">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kern w:val="2"/>
                <w:sz w:val="24"/>
                <w:szCs w:val="24"/>
                <w:highlight w:val="none"/>
                <w:lang w:val="en-US" w:eastAsia="zh-CN" w:bidi="ar-SA"/>
              </w:rPr>
              <w:t>9</w:t>
            </w:r>
          </w:p>
        </w:tc>
        <w:tc>
          <w:tcPr>
            <w:tcW w:w="1560" w:type="dxa"/>
            <w:vAlign w:val="center"/>
          </w:tcPr>
          <w:p w14:paraId="408D1034">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塘南水厂</w:t>
            </w:r>
          </w:p>
        </w:tc>
        <w:tc>
          <w:tcPr>
            <w:tcW w:w="5436" w:type="dxa"/>
            <w:vAlign w:val="center"/>
          </w:tcPr>
          <w:p w14:paraId="6BA53305">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DN300远传电磁流量计（带压力监测模块）1套；DN200远传电磁流量计（带压力监测模块）2套；DN150远传电磁流量计（带压力监测模块）1套；</w:t>
            </w:r>
          </w:p>
        </w:tc>
        <w:tc>
          <w:tcPr>
            <w:tcW w:w="804" w:type="dxa"/>
            <w:vAlign w:val="center"/>
          </w:tcPr>
          <w:p w14:paraId="1F5773A9">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14.2</w:t>
            </w:r>
          </w:p>
        </w:tc>
      </w:tr>
      <w:tr w14:paraId="0CB14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 w:hRule="atLeast"/>
        </w:trPr>
        <w:tc>
          <w:tcPr>
            <w:tcW w:w="562" w:type="dxa"/>
            <w:vAlign w:val="center"/>
          </w:tcPr>
          <w:p w14:paraId="384BD7B4">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kern w:val="2"/>
                <w:sz w:val="24"/>
                <w:szCs w:val="24"/>
                <w:highlight w:val="none"/>
                <w:lang w:val="en-US" w:eastAsia="zh-CN" w:bidi="ar-SA"/>
              </w:rPr>
              <w:t>10</w:t>
            </w:r>
          </w:p>
        </w:tc>
        <w:tc>
          <w:tcPr>
            <w:tcW w:w="1560" w:type="dxa"/>
            <w:vAlign w:val="center"/>
          </w:tcPr>
          <w:p w14:paraId="454F37EE">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幽兰水厂</w:t>
            </w:r>
          </w:p>
        </w:tc>
        <w:tc>
          <w:tcPr>
            <w:tcW w:w="5436" w:type="dxa"/>
            <w:vAlign w:val="center"/>
          </w:tcPr>
          <w:p w14:paraId="24CBE0DA">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DN400远传电磁流量计（带压力监测模块）1套；DN300远传电磁流量计（带压力监测模块）1套；DN200远传电磁流量计（带压力监测模块）2套；DN150远传电磁流量计（带压力监测模块）2套；</w:t>
            </w:r>
          </w:p>
        </w:tc>
        <w:tc>
          <w:tcPr>
            <w:tcW w:w="804" w:type="dxa"/>
            <w:vAlign w:val="center"/>
          </w:tcPr>
          <w:p w14:paraId="3D8CBC95">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21.5</w:t>
            </w:r>
          </w:p>
        </w:tc>
      </w:tr>
      <w:tr w14:paraId="5CDB0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2" w:type="dxa"/>
            <w:vAlign w:val="center"/>
          </w:tcPr>
          <w:p w14:paraId="7F40EA97">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kern w:val="2"/>
                <w:sz w:val="24"/>
                <w:szCs w:val="24"/>
                <w:highlight w:val="none"/>
                <w:lang w:val="en-US" w:eastAsia="zh-CN" w:bidi="ar-SA"/>
              </w:rPr>
              <w:t>11</w:t>
            </w:r>
          </w:p>
        </w:tc>
        <w:tc>
          <w:tcPr>
            <w:tcW w:w="1560" w:type="dxa"/>
            <w:vAlign w:val="center"/>
          </w:tcPr>
          <w:p w14:paraId="7874A394">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泾口乡泾口村单户分散式供水工程</w:t>
            </w:r>
          </w:p>
        </w:tc>
        <w:tc>
          <w:tcPr>
            <w:tcW w:w="5436" w:type="dxa"/>
            <w:vAlign w:val="center"/>
          </w:tcPr>
          <w:p w14:paraId="2DB4675E">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新建输配水管网长约16.1 km（DN200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DN300配水管约3.6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DN100村居管约12.5 km），新装水表约823户，服务人口约3305人。</w:t>
            </w:r>
          </w:p>
        </w:tc>
        <w:tc>
          <w:tcPr>
            <w:tcW w:w="0" w:type="auto"/>
            <w:vAlign w:val="center"/>
          </w:tcPr>
          <w:p w14:paraId="7CEE4BB3">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730</w:t>
            </w:r>
          </w:p>
        </w:tc>
      </w:tr>
      <w:tr w14:paraId="63310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2" w:type="dxa"/>
            <w:vAlign w:val="center"/>
          </w:tcPr>
          <w:p w14:paraId="59CD64F9">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kern w:val="2"/>
                <w:sz w:val="24"/>
                <w:szCs w:val="24"/>
                <w:highlight w:val="none"/>
                <w:lang w:val="en-US" w:eastAsia="zh-CN" w:bidi="ar-SA"/>
              </w:rPr>
              <w:t>12</w:t>
            </w:r>
          </w:p>
        </w:tc>
        <w:tc>
          <w:tcPr>
            <w:tcW w:w="1560" w:type="dxa"/>
            <w:vAlign w:val="center"/>
          </w:tcPr>
          <w:p w14:paraId="37A780EB">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泾口乡北湖村单户分散式供水工程</w:t>
            </w:r>
          </w:p>
        </w:tc>
        <w:tc>
          <w:tcPr>
            <w:tcW w:w="5436" w:type="dxa"/>
            <w:vAlign w:val="center"/>
          </w:tcPr>
          <w:p w14:paraId="300996C2">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新建输配水管网长约87.8 km（DN150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DN200配水管约2.8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DN100村居管约85.0 km），新装水表约635户，服务人口约4130人。</w:t>
            </w:r>
          </w:p>
        </w:tc>
        <w:tc>
          <w:tcPr>
            <w:tcW w:w="0" w:type="auto"/>
            <w:vAlign w:val="center"/>
          </w:tcPr>
          <w:p w14:paraId="7AE94CB7">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1505</w:t>
            </w:r>
          </w:p>
        </w:tc>
      </w:tr>
      <w:tr w14:paraId="15414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2" w:type="dxa"/>
            <w:vAlign w:val="center"/>
          </w:tcPr>
          <w:p w14:paraId="6B6070BB">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kern w:val="2"/>
                <w:sz w:val="24"/>
                <w:szCs w:val="24"/>
                <w:highlight w:val="none"/>
                <w:lang w:val="en-US" w:eastAsia="zh-CN" w:bidi="ar-SA"/>
              </w:rPr>
              <w:t>13</w:t>
            </w:r>
          </w:p>
        </w:tc>
        <w:tc>
          <w:tcPr>
            <w:tcW w:w="1560" w:type="dxa"/>
            <w:vAlign w:val="center"/>
          </w:tcPr>
          <w:p w14:paraId="6DD1B6F5">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泾口乡北山村单户分散式供水工程</w:t>
            </w:r>
          </w:p>
        </w:tc>
        <w:tc>
          <w:tcPr>
            <w:tcW w:w="5436" w:type="dxa"/>
            <w:vAlign w:val="center"/>
          </w:tcPr>
          <w:p w14:paraId="2164CD1E">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新建输配水管网长约30.0 km（DN150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DN300配水管5.5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DN100村居管约24.5 km），新装水表约852户，服务人口约3410人。</w:t>
            </w:r>
          </w:p>
        </w:tc>
        <w:tc>
          <w:tcPr>
            <w:tcW w:w="0" w:type="auto"/>
            <w:vAlign w:val="center"/>
          </w:tcPr>
          <w:p w14:paraId="331DB1F8">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1130</w:t>
            </w:r>
          </w:p>
        </w:tc>
      </w:tr>
      <w:tr w14:paraId="1CF8D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2" w:type="dxa"/>
            <w:vAlign w:val="center"/>
          </w:tcPr>
          <w:p w14:paraId="047A61A2">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14</w:t>
            </w:r>
          </w:p>
        </w:tc>
        <w:tc>
          <w:tcPr>
            <w:tcW w:w="1560" w:type="dxa"/>
            <w:vAlign w:val="center"/>
          </w:tcPr>
          <w:p w14:paraId="66002651">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泾口乡大浦村舍里单户分散式供水工程</w:t>
            </w:r>
          </w:p>
        </w:tc>
        <w:tc>
          <w:tcPr>
            <w:tcW w:w="5436" w:type="dxa"/>
            <w:vAlign w:val="center"/>
          </w:tcPr>
          <w:p w14:paraId="2ECAE08C">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新建输配水管网长约12.5 km（DN150配水管约4.5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DN100村居管约8.0 km），新装水表约190户，服务人口约820人。</w:t>
            </w:r>
          </w:p>
        </w:tc>
        <w:tc>
          <w:tcPr>
            <w:tcW w:w="0" w:type="auto"/>
            <w:vAlign w:val="center"/>
          </w:tcPr>
          <w:p w14:paraId="38151CA6">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310</w:t>
            </w:r>
          </w:p>
        </w:tc>
      </w:tr>
      <w:tr w14:paraId="10B0A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2" w:type="dxa"/>
            <w:vAlign w:val="center"/>
          </w:tcPr>
          <w:p w14:paraId="10A54D84">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15</w:t>
            </w:r>
          </w:p>
        </w:tc>
        <w:tc>
          <w:tcPr>
            <w:tcW w:w="1560" w:type="dxa"/>
            <w:vAlign w:val="center"/>
          </w:tcPr>
          <w:p w14:paraId="309B8A02">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泾口乡东岗村单户分散式供水工程</w:t>
            </w:r>
          </w:p>
        </w:tc>
        <w:tc>
          <w:tcPr>
            <w:tcW w:w="5436" w:type="dxa"/>
            <w:vAlign w:val="center"/>
          </w:tcPr>
          <w:p w14:paraId="5A0A4C63">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新建输配水管网长约25.0 km（DN150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DN200配水管约5.0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DN100村居管约20.0 km），新装水表约412户，服务人口约1898人。</w:t>
            </w:r>
          </w:p>
        </w:tc>
        <w:tc>
          <w:tcPr>
            <w:tcW w:w="0" w:type="auto"/>
            <w:vAlign w:val="center"/>
          </w:tcPr>
          <w:p w14:paraId="58214DC0">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670</w:t>
            </w:r>
          </w:p>
        </w:tc>
      </w:tr>
      <w:tr w14:paraId="5ECC5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2" w:type="dxa"/>
            <w:vAlign w:val="center"/>
          </w:tcPr>
          <w:p w14:paraId="64C8E8C5">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16</w:t>
            </w:r>
          </w:p>
        </w:tc>
        <w:tc>
          <w:tcPr>
            <w:tcW w:w="1560" w:type="dxa"/>
            <w:vAlign w:val="center"/>
          </w:tcPr>
          <w:p w14:paraId="0A96CBE6">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泾口乡东湖村单户分散式供水工程</w:t>
            </w:r>
          </w:p>
        </w:tc>
        <w:tc>
          <w:tcPr>
            <w:tcW w:w="5436" w:type="dxa"/>
            <w:vAlign w:val="center"/>
          </w:tcPr>
          <w:p w14:paraId="5618F378">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新建输配水管网长约15.7 km（DN200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DN300配水管约2.7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DN100村居管约13.0 km），新装水表约944户，服务人口约3990人。</w:t>
            </w:r>
          </w:p>
        </w:tc>
        <w:tc>
          <w:tcPr>
            <w:tcW w:w="0" w:type="auto"/>
            <w:vAlign w:val="center"/>
          </w:tcPr>
          <w:p w14:paraId="16413649">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620</w:t>
            </w:r>
          </w:p>
        </w:tc>
      </w:tr>
      <w:tr w14:paraId="57EAF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2" w:type="dxa"/>
            <w:vAlign w:val="center"/>
          </w:tcPr>
          <w:p w14:paraId="5FA7874E">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17</w:t>
            </w:r>
          </w:p>
        </w:tc>
        <w:tc>
          <w:tcPr>
            <w:tcW w:w="1560" w:type="dxa"/>
            <w:vAlign w:val="center"/>
          </w:tcPr>
          <w:p w14:paraId="38FE97B9">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泾口乡后房村单户分散式供水工程</w:t>
            </w:r>
          </w:p>
        </w:tc>
        <w:tc>
          <w:tcPr>
            <w:tcW w:w="5436" w:type="dxa"/>
            <w:vAlign w:val="center"/>
          </w:tcPr>
          <w:p w14:paraId="1A0F6CA0">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新建输配水管网长约15.0 km（DN250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DN400配水管约4.0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DN100村居管约11.0 km），新装水表约592户，服务人口约2390人。</w:t>
            </w:r>
          </w:p>
        </w:tc>
        <w:tc>
          <w:tcPr>
            <w:tcW w:w="0" w:type="auto"/>
            <w:vAlign w:val="center"/>
          </w:tcPr>
          <w:p w14:paraId="5CC6F67D">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820</w:t>
            </w:r>
          </w:p>
        </w:tc>
      </w:tr>
      <w:tr w14:paraId="20001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2" w:type="dxa"/>
            <w:vAlign w:val="center"/>
          </w:tcPr>
          <w:p w14:paraId="6BADCDFB">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18</w:t>
            </w:r>
          </w:p>
        </w:tc>
        <w:tc>
          <w:tcPr>
            <w:tcW w:w="1560" w:type="dxa"/>
            <w:vAlign w:val="center"/>
          </w:tcPr>
          <w:p w14:paraId="05C3FE7D">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泾口乡沙湖村单户分散式供水工程</w:t>
            </w:r>
          </w:p>
        </w:tc>
        <w:tc>
          <w:tcPr>
            <w:tcW w:w="5436" w:type="dxa"/>
            <w:vAlign w:val="center"/>
          </w:tcPr>
          <w:p w14:paraId="4B06AEE4">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新建输配水管网长约16.7 km（DN150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DN400配水管约6.7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DN100村居管约10.0 km），新装水表约795户，服务人口约2964人。</w:t>
            </w:r>
          </w:p>
        </w:tc>
        <w:tc>
          <w:tcPr>
            <w:tcW w:w="0" w:type="auto"/>
            <w:vAlign w:val="center"/>
          </w:tcPr>
          <w:p w14:paraId="5A70447B">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1250</w:t>
            </w:r>
          </w:p>
        </w:tc>
      </w:tr>
      <w:tr w14:paraId="6AE90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2" w:type="dxa"/>
            <w:vAlign w:val="center"/>
          </w:tcPr>
          <w:p w14:paraId="3DE00BD0">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19</w:t>
            </w:r>
          </w:p>
        </w:tc>
        <w:tc>
          <w:tcPr>
            <w:tcW w:w="1560" w:type="dxa"/>
            <w:vAlign w:val="center"/>
          </w:tcPr>
          <w:p w14:paraId="57320380">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幽兰镇幽兰村单户分散式供水工程</w:t>
            </w:r>
          </w:p>
        </w:tc>
        <w:tc>
          <w:tcPr>
            <w:tcW w:w="5436" w:type="dxa"/>
            <w:vAlign w:val="center"/>
          </w:tcPr>
          <w:p w14:paraId="34BD36A5">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新建输配水管网长约16.1 km（DN150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DN400配水管约3.5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DN100村居管约12.6 km），新装水表约560户，服务人口约1970人。</w:t>
            </w:r>
          </w:p>
        </w:tc>
        <w:tc>
          <w:tcPr>
            <w:tcW w:w="0" w:type="auto"/>
            <w:vAlign w:val="center"/>
          </w:tcPr>
          <w:p w14:paraId="59E6160E">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770</w:t>
            </w:r>
          </w:p>
        </w:tc>
      </w:tr>
      <w:tr w14:paraId="57F6F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2" w:type="dxa"/>
            <w:vAlign w:val="center"/>
          </w:tcPr>
          <w:p w14:paraId="08C53F5D">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20</w:t>
            </w:r>
          </w:p>
        </w:tc>
        <w:tc>
          <w:tcPr>
            <w:tcW w:w="1560" w:type="dxa"/>
            <w:vAlign w:val="center"/>
          </w:tcPr>
          <w:p w14:paraId="121C8990">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幽兰镇竹林村单户分散式供水工程</w:t>
            </w:r>
          </w:p>
        </w:tc>
        <w:tc>
          <w:tcPr>
            <w:tcW w:w="5436" w:type="dxa"/>
            <w:vAlign w:val="center"/>
          </w:tcPr>
          <w:p w14:paraId="6BD60452">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新建输配水管网长约19.5 km（DN150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DN300配水管约3.6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DN100村居管约15.9 km），新装水表约830户，服务人口约2895人。</w:t>
            </w:r>
          </w:p>
        </w:tc>
        <w:tc>
          <w:tcPr>
            <w:tcW w:w="0" w:type="auto"/>
            <w:vAlign w:val="center"/>
          </w:tcPr>
          <w:p w14:paraId="0C70A1AC">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780</w:t>
            </w:r>
          </w:p>
        </w:tc>
      </w:tr>
      <w:tr w14:paraId="25EC7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2" w:type="dxa"/>
            <w:vAlign w:val="center"/>
          </w:tcPr>
          <w:p w14:paraId="392AC481">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21</w:t>
            </w:r>
          </w:p>
        </w:tc>
        <w:tc>
          <w:tcPr>
            <w:tcW w:w="1560" w:type="dxa"/>
            <w:vAlign w:val="center"/>
          </w:tcPr>
          <w:p w14:paraId="38C15ECF">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幽兰镇青塘村单户分散式供水工程</w:t>
            </w:r>
          </w:p>
        </w:tc>
        <w:tc>
          <w:tcPr>
            <w:tcW w:w="5436" w:type="dxa"/>
            <w:vAlign w:val="center"/>
          </w:tcPr>
          <w:p w14:paraId="6D5EEBC9">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新建输配水管网长约6.35 km（DN150配水管约0.45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DN100村居管约5.9 km），新装水表约550户，服务人口约1944人。</w:t>
            </w:r>
          </w:p>
        </w:tc>
        <w:tc>
          <w:tcPr>
            <w:tcW w:w="0" w:type="auto"/>
            <w:vAlign w:val="center"/>
          </w:tcPr>
          <w:p w14:paraId="6D886DE3">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135</w:t>
            </w:r>
          </w:p>
        </w:tc>
      </w:tr>
      <w:tr w14:paraId="43B10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2" w:type="dxa"/>
            <w:vAlign w:val="center"/>
          </w:tcPr>
          <w:p w14:paraId="7CC37068">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22</w:t>
            </w:r>
          </w:p>
        </w:tc>
        <w:tc>
          <w:tcPr>
            <w:tcW w:w="1560" w:type="dxa"/>
            <w:vAlign w:val="center"/>
          </w:tcPr>
          <w:p w14:paraId="70BC3845">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幽兰镇东田村姜家单户分散式供水工程</w:t>
            </w:r>
          </w:p>
        </w:tc>
        <w:tc>
          <w:tcPr>
            <w:tcW w:w="5436" w:type="dxa"/>
            <w:vAlign w:val="center"/>
          </w:tcPr>
          <w:p w14:paraId="7FC79DE2">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新建输配水管网长约4.2 km（DN400配水管约1.4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DN100村居管约2.8 km），新装水表约55户，服务人口约190人。</w:t>
            </w:r>
          </w:p>
        </w:tc>
        <w:tc>
          <w:tcPr>
            <w:tcW w:w="0" w:type="auto"/>
            <w:vAlign w:val="center"/>
          </w:tcPr>
          <w:p w14:paraId="2800D9D2">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290</w:t>
            </w:r>
          </w:p>
        </w:tc>
      </w:tr>
      <w:tr w14:paraId="4F748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2" w:type="dxa"/>
            <w:vAlign w:val="center"/>
          </w:tcPr>
          <w:p w14:paraId="79012AAA">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23</w:t>
            </w:r>
          </w:p>
        </w:tc>
        <w:tc>
          <w:tcPr>
            <w:tcW w:w="1560" w:type="dxa"/>
            <w:vAlign w:val="center"/>
          </w:tcPr>
          <w:p w14:paraId="3CCEB584">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武阳镇西游村单户分散式供水工程</w:t>
            </w:r>
          </w:p>
        </w:tc>
        <w:tc>
          <w:tcPr>
            <w:tcW w:w="5436" w:type="dxa"/>
            <w:vAlign w:val="center"/>
          </w:tcPr>
          <w:p w14:paraId="6116693C">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新建输配水管网长约6.5 km（DN150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DN200配水管约2.0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DN100村居管约4.5 km），新装水表约760户，服务人口约2608人。</w:t>
            </w:r>
          </w:p>
        </w:tc>
        <w:tc>
          <w:tcPr>
            <w:tcW w:w="0" w:type="auto"/>
            <w:vAlign w:val="center"/>
          </w:tcPr>
          <w:p w14:paraId="33D00C4C">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240</w:t>
            </w:r>
          </w:p>
        </w:tc>
      </w:tr>
      <w:tr w14:paraId="59070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2" w:type="dxa"/>
            <w:vAlign w:val="center"/>
          </w:tcPr>
          <w:p w14:paraId="45BFB301">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24</w:t>
            </w:r>
          </w:p>
        </w:tc>
        <w:tc>
          <w:tcPr>
            <w:tcW w:w="1560" w:type="dxa"/>
            <w:vAlign w:val="center"/>
          </w:tcPr>
          <w:p w14:paraId="6642FD29">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武阳镇椤上村单户分散式供水工程</w:t>
            </w:r>
          </w:p>
        </w:tc>
        <w:tc>
          <w:tcPr>
            <w:tcW w:w="5436" w:type="dxa"/>
            <w:vAlign w:val="center"/>
          </w:tcPr>
          <w:p w14:paraId="32F6F8E5">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新建输配水管网长约20.2 km（DN150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DN200配水管约2.7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DN100村居管约17.5 km），新装水表约765户，服务人口约2498人。</w:t>
            </w:r>
          </w:p>
        </w:tc>
        <w:tc>
          <w:tcPr>
            <w:tcW w:w="0" w:type="auto"/>
            <w:vAlign w:val="center"/>
          </w:tcPr>
          <w:p w14:paraId="47B72B5A">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490</w:t>
            </w:r>
          </w:p>
        </w:tc>
      </w:tr>
      <w:tr w14:paraId="58BCC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2" w:type="dxa"/>
            <w:vAlign w:val="center"/>
          </w:tcPr>
          <w:p w14:paraId="7D4260B4">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25</w:t>
            </w:r>
          </w:p>
        </w:tc>
        <w:tc>
          <w:tcPr>
            <w:tcW w:w="1560" w:type="dxa"/>
            <w:vAlign w:val="center"/>
          </w:tcPr>
          <w:p w14:paraId="7684CAAE">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向塘镇辜坊村单户分散式供水工程</w:t>
            </w:r>
          </w:p>
        </w:tc>
        <w:tc>
          <w:tcPr>
            <w:tcW w:w="5436" w:type="dxa"/>
            <w:vAlign w:val="center"/>
          </w:tcPr>
          <w:p w14:paraId="5F6067A0">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新建输配水管网长约35.6 km（DN150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DN300配水管约7.8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DN100村居管约27.8 km），新装水表约1020户，服务人口约3470人。</w:t>
            </w:r>
          </w:p>
        </w:tc>
        <w:tc>
          <w:tcPr>
            <w:tcW w:w="0" w:type="auto"/>
            <w:vAlign w:val="center"/>
          </w:tcPr>
          <w:p w14:paraId="10744D0E">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1450</w:t>
            </w:r>
          </w:p>
        </w:tc>
      </w:tr>
      <w:tr w14:paraId="27E5F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2" w:type="dxa"/>
            <w:vAlign w:val="center"/>
          </w:tcPr>
          <w:p w14:paraId="5C951B40">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26</w:t>
            </w:r>
          </w:p>
        </w:tc>
        <w:tc>
          <w:tcPr>
            <w:tcW w:w="1560" w:type="dxa"/>
            <w:vAlign w:val="center"/>
          </w:tcPr>
          <w:p w14:paraId="5F43548B">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广福镇吴石村单户分散式供水工程</w:t>
            </w:r>
          </w:p>
        </w:tc>
        <w:tc>
          <w:tcPr>
            <w:tcW w:w="5436" w:type="dxa"/>
            <w:vAlign w:val="center"/>
          </w:tcPr>
          <w:p w14:paraId="350F40B9">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新建输配水管网长约18.2 km（DN150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DN400配水管约4.2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DN100村居管约14.0 km），新装水表约534户，服务人口约1423人。</w:t>
            </w:r>
          </w:p>
        </w:tc>
        <w:tc>
          <w:tcPr>
            <w:tcW w:w="0" w:type="auto"/>
            <w:vAlign w:val="center"/>
          </w:tcPr>
          <w:p w14:paraId="2532C616">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910</w:t>
            </w:r>
          </w:p>
        </w:tc>
      </w:tr>
      <w:tr w14:paraId="21798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2" w:type="dxa"/>
            <w:vAlign w:val="center"/>
          </w:tcPr>
          <w:p w14:paraId="3CEA8E36">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27</w:t>
            </w:r>
          </w:p>
        </w:tc>
        <w:tc>
          <w:tcPr>
            <w:tcW w:w="1560" w:type="dxa"/>
            <w:vAlign w:val="center"/>
          </w:tcPr>
          <w:p w14:paraId="0D5E87C2">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塘南镇新图村单户分散式供水工程</w:t>
            </w:r>
          </w:p>
        </w:tc>
        <w:tc>
          <w:tcPr>
            <w:tcW w:w="5436" w:type="dxa"/>
            <w:vAlign w:val="center"/>
          </w:tcPr>
          <w:p w14:paraId="7E8AE4A8">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新建输配水管网长约4.05 km（DN150配水管约1.1km，DN20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DN100村居管约2.95 km），新装水表约407户，服务人口约1400人。</w:t>
            </w:r>
          </w:p>
        </w:tc>
        <w:tc>
          <w:tcPr>
            <w:tcW w:w="0" w:type="auto"/>
            <w:vAlign w:val="center"/>
          </w:tcPr>
          <w:p w14:paraId="3172F04D">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110</w:t>
            </w:r>
          </w:p>
        </w:tc>
      </w:tr>
      <w:tr w14:paraId="05554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2" w:type="dxa"/>
            <w:vAlign w:val="center"/>
          </w:tcPr>
          <w:p w14:paraId="4EA73590">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28</w:t>
            </w:r>
          </w:p>
        </w:tc>
        <w:tc>
          <w:tcPr>
            <w:tcW w:w="1560" w:type="dxa"/>
            <w:vAlign w:val="center"/>
          </w:tcPr>
          <w:p w14:paraId="7FBEBDD5">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塘南镇渡口村单户分散式供水工程</w:t>
            </w:r>
          </w:p>
        </w:tc>
        <w:tc>
          <w:tcPr>
            <w:tcW w:w="5436" w:type="dxa"/>
            <w:vAlign w:val="center"/>
          </w:tcPr>
          <w:p w14:paraId="5385A37E">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新建输配水管网长约49.1 km（DN150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DN300配水管约4.6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DN100村居管约44.5 km），新装水表1802户，服务人口约7080人。</w:t>
            </w:r>
          </w:p>
        </w:tc>
        <w:tc>
          <w:tcPr>
            <w:tcW w:w="0" w:type="auto"/>
            <w:vAlign w:val="center"/>
          </w:tcPr>
          <w:p w14:paraId="48DDF037">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1410</w:t>
            </w:r>
          </w:p>
        </w:tc>
      </w:tr>
      <w:tr w14:paraId="63984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2" w:type="dxa"/>
            <w:vAlign w:val="center"/>
          </w:tcPr>
          <w:p w14:paraId="338BB6A5">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29</w:t>
            </w:r>
          </w:p>
        </w:tc>
        <w:tc>
          <w:tcPr>
            <w:tcW w:w="1560" w:type="dxa"/>
            <w:vAlign w:val="center"/>
          </w:tcPr>
          <w:p w14:paraId="11EA9A2E">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塘南镇和丰村单户分散式供水工程</w:t>
            </w:r>
          </w:p>
        </w:tc>
        <w:tc>
          <w:tcPr>
            <w:tcW w:w="5436" w:type="dxa"/>
            <w:vAlign w:val="center"/>
          </w:tcPr>
          <w:p w14:paraId="7029A010">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新建输配水管网长约28.1 km（DN150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DN200配水管4.9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DN100村居管约23.2 km），新装水表约1113户，服务人口约4800人。</w:t>
            </w:r>
          </w:p>
        </w:tc>
        <w:tc>
          <w:tcPr>
            <w:tcW w:w="0" w:type="auto"/>
            <w:vAlign w:val="center"/>
          </w:tcPr>
          <w:p w14:paraId="07EE7F5A">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750</w:t>
            </w:r>
          </w:p>
        </w:tc>
      </w:tr>
      <w:tr w14:paraId="55AB1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2" w:type="dxa"/>
            <w:vAlign w:val="center"/>
          </w:tcPr>
          <w:p w14:paraId="6393A97C">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30</w:t>
            </w:r>
          </w:p>
        </w:tc>
        <w:tc>
          <w:tcPr>
            <w:tcW w:w="1560" w:type="dxa"/>
            <w:vAlign w:val="center"/>
          </w:tcPr>
          <w:p w14:paraId="32D9EB6A">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银三角街道浒南村单户分散式供水工程</w:t>
            </w:r>
          </w:p>
        </w:tc>
        <w:tc>
          <w:tcPr>
            <w:tcW w:w="5436" w:type="dxa"/>
            <w:vAlign w:val="center"/>
          </w:tcPr>
          <w:p w14:paraId="6D291487">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新建输配水管网长约7.0 km（DN150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DN200配水管约0.8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DN100村居管约6.2 km），新装水表约260户，服务人口约1050人。</w:t>
            </w:r>
          </w:p>
        </w:tc>
        <w:tc>
          <w:tcPr>
            <w:tcW w:w="0" w:type="auto"/>
            <w:vAlign w:val="center"/>
          </w:tcPr>
          <w:p w14:paraId="5C0562C5">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160</w:t>
            </w:r>
          </w:p>
        </w:tc>
      </w:tr>
      <w:tr w14:paraId="00535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 w:hRule="atLeast"/>
        </w:trPr>
        <w:tc>
          <w:tcPr>
            <w:tcW w:w="562" w:type="dxa"/>
            <w:vAlign w:val="center"/>
          </w:tcPr>
          <w:p w14:paraId="4EE09BD0">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31</w:t>
            </w:r>
          </w:p>
        </w:tc>
        <w:tc>
          <w:tcPr>
            <w:tcW w:w="1560" w:type="dxa"/>
            <w:vAlign w:val="center"/>
          </w:tcPr>
          <w:p w14:paraId="6A0FC435">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向塘镇西洛村渠龚、渠西单户分散式供水工程</w:t>
            </w:r>
          </w:p>
        </w:tc>
        <w:tc>
          <w:tcPr>
            <w:tcW w:w="5436" w:type="dxa"/>
            <w:vAlign w:val="center"/>
          </w:tcPr>
          <w:p w14:paraId="2DE7B1DA">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新建输配水管网长约5.85 km（DN150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DN200配水管约2.9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DN100村居管约2.95 km），新装水表约110户，服务人口约400人。</w:t>
            </w:r>
          </w:p>
        </w:tc>
        <w:tc>
          <w:tcPr>
            <w:tcW w:w="804" w:type="dxa"/>
            <w:vAlign w:val="center"/>
          </w:tcPr>
          <w:p w14:paraId="1D55072E">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250</w:t>
            </w:r>
          </w:p>
        </w:tc>
      </w:tr>
      <w:tr w14:paraId="15494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 w:hRule="atLeast"/>
        </w:trPr>
        <w:tc>
          <w:tcPr>
            <w:tcW w:w="562" w:type="dxa"/>
            <w:vAlign w:val="center"/>
          </w:tcPr>
          <w:p w14:paraId="250C684A">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32</w:t>
            </w:r>
          </w:p>
        </w:tc>
        <w:tc>
          <w:tcPr>
            <w:tcW w:w="1560" w:type="dxa"/>
            <w:vAlign w:val="center"/>
          </w:tcPr>
          <w:p w14:paraId="408C910B">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塔城乡北洲村单户分散式供水工程</w:t>
            </w:r>
          </w:p>
        </w:tc>
        <w:tc>
          <w:tcPr>
            <w:tcW w:w="5436" w:type="dxa"/>
            <w:vAlign w:val="center"/>
          </w:tcPr>
          <w:p w14:paraId="39364348">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新建输配水管网长约37.0 km（DN150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DN200配水管约3.0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DN100村居管约34.0 km），新装水表约1740户，服务人口约5400人。</w:t>
            </w:r>
          </w:p>
        </w:tc>
        <w:tc>
          <w:tcPr>
            <w:tcW w:w="804" w:type="dxa"/>
            <w:vAlign w:val="center"/>
          </w:tcPr>
          <w:p w14:paraId="79091799">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810</w:t>
            </w:r>
          </w:p>
        </w:tc>
      </w:tr>
      <w:tr w14:paraId="47D04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 w:hRule="atLeast"/>
        </w:trPr>
        <w:tc>
          <w:tcPr>
            <w:tcW w:w="562" w:type="dxa"/>
            <w:vAlign w:val="center"/>
          </w:tcPr>
          <w:p w14:paraId="36416C6C">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33</w:t>
            </w:r>
          </w:p>
        </w:tc>
        <w:tc>
          <w:tcPr>
            <w:tcW w:w="1560" w:type="dxa"/>
            <w:vAlign w:val="center"/>
          </w:tcPr>
          <w:p w14:paraId="4DDA117C">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塔城乡湖陂村单户分散式供水工程</w:t>
            </w:r>
          </w:p>
        </w:tc>
        <w:tc>
          <w:tcPr>
            <w:tcW w:w="5436" w:type="dxa"/>
            <w:vAlign w:val="center"/>
          </w:tcPr>
          <w:p w14:paraId="2FBBC5F5">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新建输配水管网长约32.3 km（DN150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DN300配水管约3.3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DN100村居管约29.0 km），新装水表1070户，服务人口约3850人。</w:t>
            </w:r>
          </w:p>
        </w:tc>
        <w:tc>
          <w:tcPr>
            <w:tcW w:w="804" w:type="dxa"/>
            <w:vAlign w:val="center"/>
          </w:tcPr>
          <w:p w14:paraId="3FF4B53E">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920</w:t>
            </w:r>
          </w:p>
        </w:tc>
      </w:tr>
      <w:tr w14:paraId="7A0B2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 w:hRule="atLeast"/>
        </w:trPr>
        <w:tc>
          <w:tcPr>
            <w:tcW w:w="562" w:type="dxa"/>
            <w:vAlign w:val="center"/>
          </w:tcPr>
          <w:p w14:paraId="1595C7B6">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34</w:t>
            </w:r>
          </w:p>
        </w:tc>
        <w:tc>
          <w:tcPr>
            <w:tcW w:w="1560" w:type="dxa"/>
            <w:vAlign w:val="center"/>
          </w:tcPr>
          <w:p w14:paraId="033A5CD3">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塔城乡青岚村单户分散式供水工程</w:t>
            </w:r>
          </w:p>
        </w:tc>
        <w:tc>
          <w:tcPr>
            <w:tcW w:w="5436" w:type="dxa"/>
            <w:vAlign w:val="center"/>
          </w:tcPr>
          <w:p w14:paraId="3E3F2E37">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新建输配水管网长约26.0 km（DN150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DN200配水管约1.5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DN100村居管约24.5 km），新装水表约1042户，服务人口约4200人。</w:t>
            </w:r>
          </w:p>
        </w:tc>
        <w:tc>
          <w:tcPr>
            <w:tcW w:w="804" w:type="dxa"/>
            <w:vAlign w:val="center"/>
          </w:tcPr>
          <w:p w14:paraId="04E606AA">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520</w:t>
            </w:r>
          </w:p>
        </w:tc>
      </w:tr>
      <w:tr w14:paraId="69152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 w:hRule="atLeast"/>
        </w:trPr>
        <w:tc>
          <w:tcPr>
            <w:tcW w:w="562" w:type="dxa"/>
            <w:vAlign w:val="center"/>
          </w:tcPr>
          <w:p w14:paraId="4DEC0797">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35</w:t>
            </w:r>
          </w:p>
        </w:tc>
        <w:tc>
          <w:tcPr>
            <w:tcW w:w="1560" w:type="dxa"/>
            <w:vAlign w:val="center"/>
          </w:tcPr>
          <w:p w14:paraId="37F0365C">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塔城乡凤岗村单户分散式供水工程</w:t>
            </w:r>
          </w:p>
        </w:tc>
        <w:tc>
          <w:tcPr>
            <w:tcW w:w="5436" w:type="dxa"/>
            <w:vAlign w:val="center"/>
          </w:tcPr>
          <w:p w14:paraId="25B8513A">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新建输配水管网长约28.8 km（DN150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DN300配水管约4.5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DN100村居管约24.3 km），新装水表约870户，服务人口约3110人。</w:t>
            </w:r>
          </w:p>
        </w:tc>
        <w:tc>
          <w:tcPr>
            <w:tcW w:w="804" w:type="dxa"/>
            <w:vAlign w:val="center"/>
          </w:tcPr>
          <w:p w14:paraId="50E5F869">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990</w:t>
            </w:r>
          </w:p>
        </w:tc>
      </w:tr>
      <w:tr w14:paraId="229F0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 w:hRule="atLeast"/>
        </w:trPr>
        <w:tc>
          <w:tcPr>
            <w:tcW w:w="562" w:type="dxa"/>
            <w:vAlign w:val="center"/>
          </w:tcPr>
          <w:p w14:paraId="163835BF">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36</w:t>
            </w:r>
          </w:p>
        </w:tc>
        <w:tc>
          <w:tcPr>
            <w:tcW w:w="1560" w:type="dxa"/>
            <w:vAlign w:val="center"/>
          </w:tcPr>
          <w:p w14:paraId="0A0307D7">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塔城乡南洲村单户分散式供水工程</w:t>
            </w:r>
          </w:p>
        </w:tc>
        <w:tc>
          <w:tcPr>
            <w:tcW w:w="5436" w:type="dxa"/>
            <w:vAlign w:val="center"/>
          </w:tcPr>
          <w:p w14:paraId="42D874F7">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新建输配水管网长约30.9 km（DN150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DN200配水管约1.9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DN100村居管约29.0 km），新装水表约1170户，服务人口约3750人。</w:t>
            </w:r>
          </w:p>
        </w:tc>
        <w:tc>
          <w:tcPr>
            <w:tcW w:w="804" w:type="dxa"/>
            <w:vAlign w:val="center"/>
          </w:tcPr>
          <w:p w14:paraId="6FC981B7">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630</w:t>
            </w:r>
          </w:p>
        </w:tc>
      </w:tr>
      <w:tr w14:paraId="3DA26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 w:hRule="atLeast"/>
        </w:trPr>
        <w:tc>
          <w:tcPr>
            <w:tcW w:w="562" w:type="dxa"/>
            <w:vAlign w:val="center"/>
          </w:tcPr>
          <w:p w14:paraId="4FD242A9">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37</w:t>
            </w:r>
          </w:p>
        </w:tc>
        <w:tc>
          <w:tcPr>
            <w:tcW w:w="1560" w:type="dxa"/>
            <w:vAlign w:val="center"/>
          </w:tcPr>
          <w:p w14:paraId="6050C55F">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广福镇广福居委单户分散式供水工程</w:t>
            </w:r>
          </w:p>
        </w:tc>
        <w:tc>
          <w:tcPr>
            <w:tcW w:w="5436" w:type="dxa"/>
            <w:vAlign w:val="center"/>
          </w:tcPr>
          <w:p w14:paraId="6B775F88">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新建输配水管网长约10.0 km（DN150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DN500配水管1.5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DN100村居管8.5 km），新装水表约1020户，服务人口约3058人。</w:t>
            </w:r>
          </w:p>
        </w:tc>
        <w:tc>
          <w:tcPr>
            <w:tcW w:w="804" w:type="dxa"/>
            <w:vAlign w:val="center"/>
          </w:tcPr>
          <w:p w14:paraId="06A77CEF">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510</w:t>
            </w:r>
          </w:p>
        </w:tc>
      </w:tr>
      <w:tr w14:paraId="71FD6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 w:hRule="atLeast"/>
        </w:trPr>
        <w:tc>
          <w:tcPr>
            <w:tcW w:w="562" w:type="dxa"/>
            <w:vAlign w:val="center"/>
          </w:tcPr>
          <w:p w14:paraId="653C82D3">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38</w:t>
            </w:r>
          </w:p>
        </w:tc>
        <w:tc>
          <w:tcPr>
            <w:tcW w:w="1560" w:type="dxa"/>
            <w:vAlign w:val="center"/>
          </w:tcPr>
          <w:p w14:paraId="1A245050">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广福镇广福村单户分散式供水工程</w:t>
            </w:r>
          </w:p>
        </w:tc>
        <w:tc>
          <w:tcPr>
            <w:tcW w:w="5436" w:type="dxa"/>
            <w:vAlign w:val="center"/>
          </w:tcPr>
          <w:p w14:paraId="66610072">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新建输配水管网长约22.6 km（DN150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DN400配水管约2.6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DN100村居管约20.0 km），新装水表约602户，服务人口约2337人。</w:t>
            </w:r>
          </w:p>
        </w:tc>
        <w:tc>
          <w:tcPr>
            <w:tcW w:w="804" w:type="dxa"/>
            <w:vAlign w:val="center"/>
          </w:tcPr>
          <w:p w14:paraId="377EB563">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740</w:t>
            </w:r>
          </w:p>
        </w:tc>
      </w:tr>
      <w:tr w14:paraId="3DED3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 w:hRule="atLeast"/>
        </w:trPr>
        <w:tc>
          <w:tcPr>
            <w:tcW w:w="562" w:type="dxa"/>
            <w:vAlign w:val="center"/>
          </w:tcPr>
          <w:p w14:paraId="4905743D">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39</w:t>
            </w:r>
          </w:p>
        </w:tc>
        <w:tc>
          <w:tcPr>
            <w:tcW w:w="1560" w:type="dxa"/>
            <w:vAlign w:val="center"/>
          </w:tcPr>
          <w:p w14:paraId="5AE2C7D2">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广福镇板湖村单户分散式供水工程</w:t>
            </w:r>
          </w:p>
        </w:tc>
        <w:tc>
          <w:tcPr>
            <w:tcW w:w="5436" w:type="dxa"/>
            <w:vAlign w:val="center"/>
          </w:tcPr>
          <w:p w14:paraId="1F91BF88">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新建输配水管网长约15.5 km（DN150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DN200配水管约2.0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DN100村居管约13.5 km），新装水表约508户，服务人口约1980人。</w:t>
            </w:r>
          </w:p>
        </w:tc>
        <w:tc>
          <w:tcPr>
            <w:tcW w:w="804" w:type="dxa"/>
            <w:vAlign w:val="center"/>
          </w:tcPr>
          <w:p w14:paraId="74F7D53B">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670</w:t>
            </w:r>
          </w:p>
        </w:tc>
      </w:tr>
      <w:tr w14:paraId="5FF4C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 w:hRule="atLeast"/>
        </w:trPr>
        <w:tc>
          <w:tcPr>
            <w:tcW w:w="562" w:type="dxa"/>
            <w:vAlign w:val="center"/>
          </w:tcPr>
          <w:p w14:paraId="187A946B">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40</w:t>
            </w:r>
          </w:p>
        </w:tc>
        <w:tc>
          <w:tcPr>
            <w:tcW w:w="1560" w:type="dxa"/>
            <w:vAlign w:val="center"/>
          </w:tcPr>
          <w:p w14:paraId="0F962643">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广福镇江家村单户分散式供水工程</w:t>
            </w:r>
          </w:p>
        </w:tc>
        <w:tc>
          <w:tcPr>
            <w:tcW w:w="5436" w:type="dxa"/>
            <w:vAlign w:val="center"/>
          </w:tcPr>
          <w:p w14:paraId="7BE9A224">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新建输配水管网长约25.5 km（DN150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DN200配水管约4.5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DN100村居管约21.0 km），新装水表728户，服务人口约3060人。</w:t>
            </w:r>
          </w:p>
        </w:tc>
        <w:tc>
          <w:tcPr>
            <w:tcW w:w="804" w:type="dxa"/>
            <w:vAlign w:val="center"/>
          </w:tcPr>
          <w:p w14:paraId="53589467">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670</w:t>
            </w:r>
          </w:p>
        </w:tc>
      </w:tr>
      <w:tr w14:paraId="6F832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 w:hRule="atLeast"/>
        </w:trPr>
        <w:tc>
          <w:tcPr>
            <w:tcW w:w="562" w:type="dxa"/>
            <w:vAlign w:val="center"/>
          </w:tcPr>
          <w:p w14:paraId="7377E3E8">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41</w:t>
            </w:r>
          </w:p>
        </w:tc>
        <w:tc>
          <w:tcPr>
            <w:tcW w:w="1560" w:type="dxa"/>
            <w:vAlign w:val="center"/>
          </w:tcPr>
          <w:p w14:paraId="3C3BD90F">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八一乡钱溪村单户分散式供水工程</w:t>
            </w:r>
          </w:p>
        </w:tc>
        <w:tc>
          <w:tcPr>
            <w:tcW w:w="5436" w:type="dxa"/>
            <w:vAlign w:val="center"/>
          </w:tcPr>
          <w:p w14:paraId="5E74B2BE">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新建输配水管网长约12.6 km（DN150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DN200配水管约1.6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DN100村居管约11.0 km），新装水表约560户，服务人口约2270人。</w:t>
            </w:r>
          </w:p>
        </w:tc>
        <w:tc>
          <w:tcPr>
            <w:tcW w:w="804" w:type="dxa"/>
            <w:vAlign w:val="center"/>
          </w:tcPr>
          <w:p w14:paraId="782F7A6F">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305</w:t>
            </w:r>
          </w:p>
        </w:tc>
      </w:tr>
      <w:tr w14:paraId="3F268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 w:hRule="atLeast"/>
        </w:trPr>
        <w:tc>
          <w:tcPr>
            <w:tcW w:w="562" w:type="dxa"/>
            <w:vAlign w:val="center"/>
          </w:tcPr>
          <w:p w14:paraId="06F01822">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42</w:t>
            </w:r>
          </w:p>
        </w:tc>
        <w:tc>
          <w:tcPr>
            <w:tcW w:w="1560" w:type="dxa"/>
            <w:vAlign w:val="center"/>
          </w:tcPr>
          <w:p w14:paraId="1288D63C">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八一乡淡溪村单户分散式供水工程</w:t>
            </w:r>
          </w:p>
        </w:tc>
        <w:tc>
          <w:tcPr>
            <w:tcW w:w="5436" w:type="dxa"/>
            <w:vAlign w:val="center"/>
          </w:tcPr>
          <w:p w14:paraId="467639EF">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新建输配水管网长约22.8 km（DN150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DN200配水管约1.8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DN100村居管约21.0 km），新装水表约570户，服务人口约3060人。</w:t>
            </w:r>
          </w:p>
        </w:tc>
        <w:tc>
          <w:tcPr>
            <w:tcW w:w="804" w:type="dxa"/>
            <w:vAlign w:val="center"/>
          </w:tcPr>
          <w:p w14:paraId="4D5CBB35">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470</w:t>
            </w:r>
          </w:p>
        </w:tc>
      </w:tr>
      <w:tr w14:paraId="0D07F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 w:hRule="atLeast"/>
        </w:trPr>
        <w:tc>
          <w:tcPr>
            <w:tcW w:w="562" w:type="dxa"/>
            <w:vAlign w:val="center"/>
          </w:tcPr>
          <w:p w14:paraId="6E3EBDF3">
            <w:pPr>
              <w:numPr>
                <w:ilvl w:val="0"/>
                <w:numId w:val="0"/>
              </w:numPr>
              <w:ind w:left="425" w:leftChars="0" w:hanging="425"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2"/>
                <w:sz w:val="24"/>
                <w:szCs w:val="24"/>
                <w:highlight w:val="none"/>
                <w:lang w:val="en-US" w:eastAsia="zh-CN" w:bidi="ar-SA"/>
              </w:rPr>
              <w:t>43</w:t>
            </w:r>
          </w:p>
        </w:tc>
        <w:tc>
          <w:tcPr>
            <w:tcW w:w="1560" w:type="dxa"/>
            <w:vAlign w:val="center"/>
          </w:tcPr>
          <w:p w14:paraId="1EF2DB6C">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八一乡五星单户分散式供水工程</w:t>
            </w:r>
          </w:p>
        </w:tc>
        <w:tc>
          <w:tcPr>
            <w:tcW w:w="5436" w:type="dxa"/>
            <w:vAlign w:val="center"/>
          </w:tcPr>
          <w:p w14:paraId="34DC3141">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新建输配水管网长约7.8 km（DN150配水管约1.6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DN100村居管约6.2 km），新装水表约945户，服务人口约2660人。</w:t>
            </w:r>
          </w:p>
        </w:tc>
        <w:tc>
          <w:tcPr>
            <w:tcW w:w="804" w:type="dxa"/>
            <w:vAlign w:val="center"/>
          </w:tcPr>
          <w:p w14:paraId="464AA806">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210</w:t>
            </w:r>
          </w:p>
        </w:tc>
      </w:tr>
      <w:tr w14:paraId="7BF6C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 w:hRule="atLeast"/>
        </w:trPr>
        <w:tc>
          <w:tcPr>
            <w:tcW w:w="562" w:type="dxa"/>
            <w:vAlign w:val="center"/>
          </w:tcPr>
          <w:p w14:paraId="7377257C">
            <w:pPr>
              <w:numPr>
                <w:ilvl w:val="0"/>
                <w:numId w:val="0"/>
              </w:numPr>
              <w:ind w:leftChars="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44</w:t>
            </w:r>
          </w:p>
        </w:tc>
        <w:tc>
          <w:tcPr>
            <w:tcW w:w="1560" w:type="dxa"/>
            <w:vAlign w:val="center"/>
          </w:tcPr>
          <w:p w14:paraId="72EEB17D">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向塘镇西洛村天王渡单户分散式供水工程</w:t>
            </w:r>
          </w:p>
        </w:tc>
        <w:tc>
          <w:tcPr>
            <w:tcW w:w="5436" w:type="dxa"/>
            <w:vAlign w:val="center"/>
          </w:tcPr>
          <w:p w14:paraId="3C758562">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新建输配水管网长约3.85 km（DN150配水管约0.9 km，DN20</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DN100村居管2.95 km），新装水表87户，服务人口约270人。</w:t>
            </w:r>
          </w:p>
        </w:tc>
        <w:tc>
          <w:tcPr>
            <w:tcW w:w="804" w:type="dxa"/>
            <w:vAlign w:val="center"/>
          </w:tcPr>
          <w:p w14:paraId="57460BD3">
            <w:pPr>
              <w:ind w:firstLine="0" w:firstLineChars="0"/>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85</w:t>
            </w:r>
          </w:p>
        </w:tc>
      </w:tr>
      <w:tr w14:paraId="6EB06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 w:hRule="atLeast"/>
        </w:trPr>
        <w:tc>
          <w:tcPr>
            <w:tcW w:w="562" w:type="dxa"/>
            <w:vAlign w:val="center"/>
          </w:tcPr>
          <w:p w14:paraId="3B034F53">
            <w:pPr>
              <w:ind w:firstLine="0" w:firstLineChars="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45</w:t>
            </w:r>
          </w:p>
        </w:tc>
        <w:tc>
          <w:tcPr>
            <w:tcW w:w="1560" w:type="dxa"/>
            <w:vAlign w:val="center"/>
          </w:tcPr>
          <w:p w14:paraId="36DAA2C8">
            <w:pPr>
              <w:ind w:firstLine="0" w:firstLineChars="0"/>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信息化工程</w:t>
            </w:r>
          </w:p>
        </w:tc>
        <w:tc>
          <w:tcPr>
            <w:tcW w:w="5436" w:type="dxa"/>
            <w:vAlign w:val="center"/>
          </w:tcPr>
          <w:p w14:paraId="5E0B04BA">
            <w:pPr>
              <w:ind w:firstLine="0" w:firstLineChars="0"/>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南昌县农村供水工程信息化平台</w:t>
            </w:r>
          </w:p>
        </w:tc>
        <w:tc>
          <w:tcPr>
            <w:tcW w:w="804" w:type="dxa"/>
            <w:vAlign w:val="center"/>
          </w:tcPr>
          <w:p w14:paraId="2E843AD8">
            <w:pPr>
              <w:ind w:firstLine="0" w:firstLineChars="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1500</w:t>
            </w:r>
          </w:p>
        </w:tc>
      </w:tr>
      <w:tr w14:paraId="56F6C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 w:hRule="atLeast"/>
        </w:trPr>
        <w:tc>
          <w:tcPr>
            <w:tcW w:w="562" w:type="dxa"/>
            <w:vAlign w:val="center"/>
          </w:tcPr>
          <w:p w14:paraId="7DD60029">
            <w:pPr>
              <w:ind w:firstLine="0" w:firstLineChars="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合计</w:t>
            </w:r>
          </w:p>
        </w:tc>
        <w:tc>
          <w:tcPr>
            <w:tcW w:w="1560" w:type="dxa"/>
            <w:vAlign w:val="center"/>
          </w:tcPr>
          <w:p w14:paraId="098BCBA1">
            <w:pPr>
              <w:ind w:firstLine="0" w:firstLineChars="0"/>
              <w:rPr>
                <w:rFonts w:hint="eastAsia" w:ascii="仿宋_GB2312" w:hAnsi="仿宋_GB2312" w:eastAsia="仿宋_GB2312" w:cs="仿宋_GB2312"/>
                <w:color w:val="000000"/>
                <w:sz w:val="24"/>
                <w:szCs w:val="24"/>
                <w:highlight w:val="none"/>
              </w:rPr>
            </w:pPr>
          </w:p>
        </w:tc>
        <w:tc>
          <w:tcPr>
            <w:tcW w:w="5436" w:type="dxa"/>
            <w:vAlign w:val="center"/>
          </w:tcPr>
          <w:p w14:paraId="6132F781">
            <w:pPr>
              <w:ind w:firstLine="0" w:firstLineChars="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w:t>
            </w:r>
          </w:p>
        </w:tc>
        <w:tc>
          <w:tcPr>
            <w:tcW w:w="804" w:type="dxa"/>
            <w:vAlign w:val="center"/>
          </w:tcPr>
          <w:p w14:paraId="62479808">
            <w:pPr>
              <w:ind w:firstLine="0" w:firstLineChars="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43539</w:t>
            </w:r>
          </w:p>
        </w:tc>
      </w:tr>
    </w:tbl>
    <w:p w14:paraId="72ED1D32">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br w:type="page"/>
      </w:r>
    </w:p>
    <w:p w14:paraId="7EE1889E">
      <w:pPr>
        <w:pStyle w:val="4"/>
        <w:keepNext/>
        <w:keepLines/>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b w:val="0"/>
          <w:bCs/>
          <w:sz w:val="32"/>
          <w:szCs w:val="32"/>
          <w:highlight w:val="none"/>
        </w:rPr>
      </w:pPr>
      <w:bookmarkStart w:id="305" w:name="_Toc24167"/>
      <w:bookmarkStart w:id="306" w:name="_Toc30589"/>
      <w:r>
        <w:rPr>
          <w:rFonts w:hint="eastAsia" w:ascii="黑体" w:hAnsi="黑体" w:eastAsia="黑体" w:cs="黑体"/>
          <w:b w:val="0"/>
          <w:bCs/>
          <w:sz w:val="32"/>
          <w:szCs w:val="32"/>
          <w:highlight w:val="none"/>
        </w:rPr>
        <w:t>效益分析</w:t>
      </w:r>
      <w:bookmarkEnd w:id="305"/>
      <w:bookmarkEnd w:id="306"/>
    </w:p>
    <w:p w14:paraId="2D431CF2">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307" w:name="_Toc22094"/>
      <w:bookmarkStart w:id="308" w:name="_Toc28130"/>
      <w:bookmarkStart w:id="309" w:name="OLE_LINK72"/>
      <w:r>
        <w:rPr>
          <w:rFonts w:hint="eastAsia" w:ascii="楷体" w:hAnsi="楷体" w:eastAsia="楷体" w:cs="楷体"/>
          <w:sz w:val="32"/>
          <w:szCs w:val="32"/>
          <w:highlight w:val="none"/>
        </w:rPr>
        <w:t>社会效益</w:t>
      </w:r>
      <w:bookmarkEnd w:id="307"/>
      <w:bookmarkEnd w:id="308"/>
    </w:p>
    <w:p w14:paraId="02BA3A0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农村饮水安全薄弱环节整治工程的社会效益主要体现在健康改善、生活便利、社会稳定、经济发展和生态环保等，具体如下：</w:t>
      </w:r>
    </w:p>
    <w:p w14:paraId="3D509DF2">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（1）健康水平显著提升</w:t>
      </w:r>
    </w:p>
    <w:p w14:paraId="58C8155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水质达标率大幅提升，农村居民饮用水安全得到根本保障。水质改善可使水性疾病的发病率降低</w:t>
      </w:r>
      <w:r>
        <w:rPr>
          <w:rFonts w:hint="eastAsia" w:ascii="仿宋_GB2312" w:hAnsi="仿宋_GB2312" w:eastAsia="仿宋_GB2312" w:cs="仿宋_GB2312"/>
          <w:sz w:val="32"/>
          <w:szCs w:val="32"/>
          <w:highlight w:val="none"/>
          <w:lang w:eastAsia="zh-CN"/>
        </w:rPr>
        <w:t>50%～85%</w:t>
      </w:r>
      <w:r>
        <w:rPr>
          <w:rFonts w:hint="eastAsia" w:ascii="仿宋_GB2312" w:hAnsi="仿宋_GB2312" w:eastAsia="仿宋_GB2312" w:cs="仿宋_GB2312"/>
          <w:sz w:val="32"/>
          <w:szCs w:val="32"/>
          <w:highlight w:val="none"/>
        </w:rPr>
        <w:t>，有效减少水源性疾病传播。</w:t>
      </w:r>
    </w:p>
    <w:p w14:paraId="0EE8C0CC">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（2）生活品质明显改善</w:t>
      </w:r>
    </w:p>
    <w:p w14:paraId="1238F913">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农村居民获得稳定清洁水源，无需长时间跋涉取水，生活质量显著提升。自来水入户让村民告别了取水不便的历史，用水更加便捷，幸福感增强。</w:t>
      </w:r>
    </w:p>
    <w:p w14:paraId="2EB812C3">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（3）社会稳定和谐发展</w:t>
      </w:r>
    </w:p>
    <w:p w14:paraId="66B499E8">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解决了因饮水问题引发的社会矛盾纠纷，缓解了水资源分配不均导致的社会不满情绪。工程实施增强了社会凝聚力，密切了党群干群关系。</w:t>
      </w:r>
    </w:p>
    <w:p w14:paraId="398135A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（4）经济发展的促进</w:t>
      </w:r>
    </w:p>
    <w:p w14:paraId="2CF4B98A">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改善了农村生产生活条件，吸引城市人员和企事业单位到农村发展。工程实施创造就业机会，带动水处理设备、管道建设等相关产业发展。农业生产条件改善，农民可以更合理安排生产活动。</w:t>
      </w:r>
    </w:p>
    <w:p w14:paraId="437EA37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（5）生态环境效益</w:t>
      </w:r>
    </w:p>
    <w:p w14:paraId="6C531A19">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有效减少水源污染，改善农村环境卫生状况，保护水源地生态功能。</w:t>
      </w:r>
    </w:p>
    <w:p w14:paraId="4B1D1E8D">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（6）公共服务能力提升</w:t>
      </w:r>
    </w:p>
    <w:p w14:paraId="3729EF99">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完善了农村基础设施，提升了政府治理能力，建立了快速响应的公共服务体系。</w:t>
      </w:r>
    </w:p>
    <w:bookmarkEnd w:id="309"/>
    <w:p w14:paraId="5ED99B65">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310" w:name="_Toc17622"/>
      <w:bookmarkStart w:id="311" w:name="_Toc1638"/>
      <w:bookmarkStart w:id="312" w:name="OLE_LINK73"/>
      <w:r>
        <w:rPr>
          <w:rFonts w:hint="eastAsia" w:ascii="楷体" w:hAnsi="楷体" w:eastAsia="楷体" w:cs="楷体"/>
          <w:sz w:val="32"/>
          <w:szCs w:val="32"/>
          <w:highlight w:val="none"/>
        </w:rPr>
        <w:t>经济效益</w:t>
      </w:r>
      <w:bookmarkEnd w:id="310"/>
      <w:bookmarkEnd w:id="311"/>
    </w:p>
    <w:p w14:paraId="5D2B5139">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（1）直接经济收益</w:t>
      </w:r>
    </w:p>
    <w:p w14:paraId="61D7E83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1）提高生产力与农业生产效益：改善饮水条件显著提升劳动者健康水平，减少因病请假现象，提高劳动生产率；稳定供水保障促进农业生产，提高产出并降低生产成本，助力农民增收。</w:t>
      </w:r>
    </w:p>
    <w:p w14:paraId="32F5B259">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2）降低医疗支出：饮水水质达标可减少水性疾病发生，降低农村居民医疗费用负担，减少因健康问题导致的社会生产损失。</w:t>
      </w:r>
    </w:p>
    <w:p w14:paraId="16C7C4A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促进农村基础设施发展与投资吸引：供水设施及管网建设带动当地建材、运输、设备制造等相关产业链延伸，促进地方就业与市场活力提升；改善基础设施吸引外部投资，推动农村土地流转和规模化经营，助力乡村振兴。</w:t>
      </w:r>
    </w:p>
    <w:p w14:paraId="08D0A0C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（2）资源优化与产业带动</w:t>
      </w:r>
    </w:p>
    <w:p w14:paraId="46B49ECD">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1）优化水资源配置：科学的水资源管理与节水技术推广提高利用效率，减少浪费，保障农业灌溉和农村生活用水稳定，为地方经济提供可靠水资源支撑</w:t>
      </w:r>
    </w:p>
    <w:p w14:paraId="1A3CF44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2）带动关联产业：工程建设与运维创造大量就业岗位，拉动建筑、制造、技术服务等行业发展，形成产业联动效应</w:t>
      </w:r>
    </w:p>
    <w:p w14:paraId="2F73ADB8">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（3）长期节约与可持续发展</w:t>
      </w:r>
    </w:p>
    <w:p w14:paraId="03DC3D98">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1）长期节约成本：尽管初期需投入管网、设备等建设费用，但长期通过减少疾病、提升劳动力质量、降低医疗与缺勤损失，实现较高的社会经济回报，投资回收期合理。</w:t>
      </w:r>
    </w:p>
    <w:p w14:paraId="3333AA3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2）提升农村经济活力与竞争力：稳定供水改善农村营商环境，提高农村地区整体竞争力，推动产业结构优化与升级，为可持续发展奠定基础。</w:t>
      </w:r>
    </w:p>
    <w:p w14:paraId="6015CA1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综上，农村饮水安全工程具有显著经济效益，是促进农村经济社会发展的重要举措。</w:t>
      </w:r>
    </w:p>
    <w:bookmarkEnd w:id="312"/>
    <w:p w14:paraId="3EF67A1F">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313" w:name="_Toc27578"/>
      <w:bookmarkStart w:id="314" w:name="_Toc15281"/>
      <w:bookmarkStart w:id="315" w:name="OLE_LINK74"/>
      <w:r>
        <w:rPr>
          <w:rFonts w:hint="eastAsia" w:ascii="楷体" w:hAnsi="楷体" w:eastAsia="楷体" w:cs="楷体"/>
          <w:sz w:val="32"/>
          <w:szCs w:val="32"/>
          <w:highlight w:val="none"/>
        </w:rPr>
        <w:t>项目实施前后主要技术指标</w:t>
      </w:r>
      <w:bookmarkEnd w:id="313"/>
      <w:bookmarkEnd w:id="314"/>
    </w:p>
    <w:bookmarkEnd w:id="315"/>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906"/>
        <w:gridCol w:w="1200"/>
        <w:gridCol w:w="1392"/>
        <w:gridCol w:w="1864"/>
      </w:tblGrid>
      <w:tr w14:paraId="5A072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906" w:type="dxa"/>
            <w:vAlign w:val="center"/>
          </w:tcPr>
          <w:p w14:paraId="10B7BFB8">
            <w:pPr>
              <w:ind w:firstLine="0" w:firstLineChars="0"/>
              <w:jc w:val="center"/>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技术指标</w:t>
            </w:r>
          </w:p>
        </w:tc>
        <w:tc>
          <w:tcPr>
            <w:tcW w:w="1200" w:type="dxa"/>
            <w:vAlign w:val="center"/>
          </w:tcPr>
          <w:p w14:paraId="72EDE51D">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实施前</w:t>
            </w:r>
          </w:p>
          <w:p w14:paraId="7442C21E">
            <w:pPr>
              <w:ind w:firstLine="0" w:firstLineChars="0"/>
              <w:jc w:val="center"/>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（2024年）</w:t>
            </w:r>
          </w:p>
        </w:tc>
        <w:tc>
          <w:tcPr>
            <w:tcW w:w="1392" w:type="dxa"/>
            <w:vAlign w:val="center"/>
          </w:tcPr>
          <w:p w14:paraId="27D4B634">
            <w:pPr>
              <w:ind w:firstLine="0" w:firstLine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实施后</w:t>
            </w:r>
          </w:p>
          <w:p w14:paraId="401DF5A8">
            <w:pPr>
              <w:ind w:firstLine="0" w:firstLineChars="0"/>
              <w:jc w:val="center"/>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（2027年）</w:t>
            </w:r>
          </w:p>
        </w:tc>
        <w:tc>
          <w:tcPr>
            <w:tcW w:w="1864" w:type="dxa"/>
            <w:vAlign w:val="center"/>
          </w:tcPr>
          <w:p w14:paraId="5865F224">
            <w:pPr>
              <w:ind w:firstLine="0" w:firstLineChars="0"/>
              <w:jc w:val="center"/>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提升幅度</w:t>
            </w:r>
          </w:p>
        </w:tc>
      </w:tr>
      <w:tr w14:paraId="118B3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906" w:type="dxa"/>
            <w:vAlign w:val="center"/>
          </w:tcPr>
          <w:p w14:paraId="605D69AB">
            <w:pPr>
              <w:ind w:firstLine="0" w:firstLineChars="0"/>
              <w:rPr>
                <w:rFonts w:hint="eastAsia" w:ascii="仿宋_GB2312" w:hAnsi="仿宋_GB2312" w:eastAsia="仿宋_GB2312" w:cs="仿宋_GB2312"/>
                <w:b/>
                <w:bCs/>
                <w:spacing w:val="-8"/>
                <w:sz w:val="24"/>
                <w:szCs w:val="24"/>
                <w:highlight w:val="none"/>
              </w:rPr>
            </w:pPr>
            <w:bookmarkStart w:id="316" w:name="OLE_LINK36"/>
            <w:r>
              <w:rPr>
                <w:rFonts w:hint="eastAsia" w:ascii="仿宋_GB2312" w:hAnsi="仿宋_GB2312" w:eastAsia="仿宋_GB2312" w:cs="仿宋_GB2312"/>
                <w:sz w:val="24"/>
                <w:szCs w:val="24"/>
                <w:highlight w:val="none"/>
              </w:rPr>
              <w:t>农村</w:t>
            </w:r>
            <w:bookmarkEnd w:id="316"/>
            <w:r>
              <w:rPr>
                <w:rFonts w:hint="eastAsia" w:ascii="仿宋_GB2312" w:hAnsi="仿宋_GB2312" w:eastAsia="仿宋_GB2312" w:cs="仿宋_GB2312"/>
                <w:sz w:val="24"/>
                <w:szCs w:val="24"/>
                <w:highlight w:val="none"/>
              </w:rPr>
              <w:t>总人口（人）</w:t>
            </w:r>
          </w:p>
        </w:tc>
        <w:tc>
          <w:tcPr>
            <w:tcW w:w="1200" w:type="dxa"/>
            <w:vAlign w:val="center"/>
          </w:tcPr>
          <w:p w14:paraId="7AABC026">
            <w:pPr>
              <w:ind w:firstLine="0" w:firstLineChars="0"/>
              <w:jc w:val="center"/>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728336</w:t>
            </w:r>
          </w:p>
        </w:tc>
        <w:tc>
          <w:tcPr>
            <w:tcW w:w="1392" w:type="dxa"/>
            <w:vAlign w:val="center"/>
          </w:tcPr>
          <w:p w14:paraId="29F77BC0">
            <w:pPr>
              <w:ind w:firstLine="0" w:firstLineChars="0"/>
              <w:jc w:val="center"/>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728336</w:t>
            </w:r>
          </w:p>
        </w:tc>
        <w:tc>
          <w:tcPr>
            <w:tcW w:w="1864" w:type="dxa"/>
            <w:vAlign w:val="center"/>
          </w:tcPr>
          <w:p w14:paraId="165337AA">
            <w:pPr>
              <w:ind w:firstLine="0" w:firstLineChars="0"/>
              <w:jc w:val="center"/>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w:t>
            </w:r>
          </w:p>
        </w:tc>
      </w:tr>
      <w:tr w14:paraId="1375B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906" w:type="dxa"/>
            <w:vAlign w:val="center"/>
          </w:tcPr>
          <w:p w14:paraId="23C129E4">
            <w:pPr>
              <w:ind w:firstLine="0" w:firstLineChars="0"/>
              <w:rPr>
                <w:rFonts w:hint="eastAsia" w:ascii="仿宋_GB2312" w:hAnsi="仿宋_GB2312" w:eastAsia="仿宋_GB2312" w:cs="仿宋_GB2312"/>
                <w:b/>
                <w:bCs/>
                <w:spacing w:val="-8"/>
                <w:sz w:val="24"/>
                <w:szCs w:val="24"/>
                <w:highlight w:val="none"/>
              </w:rPr>
            </w:pPr>
            <w:bookmarkStart w:id="317" w:name="_Hlk216440742"/>
            <w:r>
              <w:rPr>
                <w:rFonts w:hint="eastAsia" w:ascii="仿宋_GB2312" w:hAnsi="仿宋_GB2312" w:eastAsia="仿宋_GB2312" w:cs="仿宋_GB2312"/>
                <w:sz w:val="24"/>
                <w:szCs w:val="24"/>
                <w:highlight w:val="none"/>
              </w:rPr>
              <w:t>总设计供水规模（万m³/d）</w:t>
            </w:r>
          </w:p>
        </w:tc>
        <w:tc>
          <w:tcPr>
            <w:tcW w:w="1200" w:type="dxa"/>
            <w:vAlign w:val="center"/>
          </w:tcPr>
          <w:p w14:paraId="4470DE81">
            <w:pPr>
              <w:ind w:firstLine="0" w:firstLineChars="0"/>
              <w:jc w:val="center"/>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44.85</w:t>
            </w:r>
          </w:p>
        </w:tc>
        <w:tc>
          <w:tcPr>
            <w:tcW w:w="1392" w:type="dxa"/>
            <w:vAlign w:val="center"/>
          </w:tcPr>
          <w:p w14:paraId="3914CA10">
            <w:pPr>
              <w:ind w:firstLine="0" w:firstLineChars="0"/>
              <w:jc w:val="center"/>
              <w:rPr>
                <w:rFonts w:hint="eastAsia" w:ascii="仿宋_GB2312" w:hAnsi="仿宋_GB2312" w:eastAsia="仿宋_GB2312" w:cs="仿宋_GB2312"/>
                <w:spacing w:val="-8"/>
                <w:sz w:val="24"/>
                <w:szCs w:val="24"/>
                <w:highlight w:val="none"/>
              </w:rPr>
            </w:pPr>
            <w:r>
              <w:rPr>
                <w:rFonts w:hint="eastAsia" w:ascii="仿宋_GB2312" w:hAnsi="仿宋_GB2312" w:eastAsia="仿宋_GB2312" w:cs="仿宋_GB2312"/>
                <w:spacing w:val="-8"/>
                <w:sz w:val="24"/>
                <w:szCs w:val="24"/>
                <w:highlight w:val="none"/>
              </w:rPr>
              <w:t>54.85</w:t>
            </w:r>
          </w:p>
        </w:tc>
        <w:tc>
          <w:tcPr>
            <w:tcW w:w="1864" w:type="dxa"/>
            <w:vAlign w:val="center"/>
          </w:tcPr>
          <w:p w14:paraId="6D98A16D">
            <w:pPr>
              <w:ind w:firstLine="0" w:firstLineChars="0"/>
              <w:jc w:val="center"/>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+22.3%</w:t>
            </w:r>
          </w:p>
        </w:tc>
      </w:tr>
      <w:bookmarkEnd w:id="317"/>
      <w:tr w14:paraId="08381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906" w:type="dxa"/>
            <w:vAlign w:val="center"/>
          </w:tcPr>
          <w:p w14:paraId="25C98666">
            <w:pPr>
              <w:ind w:firstLine="0" w:firstLineChars="0"/>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规模化水厂数量（处）</w:t>
            </w:r>
          </w:p>
        </w:tc>
        <w:tc>
          <w:tcPr>
            <w:tcW w:w="1200" w:type="dxa"/>
            <w:vAlign w:val="center"/>
          </w:tcPr>
          <w:p w14:paraId="3F35CB20">
            <w:pPr>
              <w:ind w:firstLine="0" w:firstLineChars="0"/>
              <w:jc w:val="center"/>
              <w:rPr>
                <w:rFonts w:hint="eastAsia" w:ascii="仿宋_GB2312" w:hAnsi="仿宋_GB2312" w:eastAsia="仿宋_GB2312" w:cs="仿宋_GB2312"/>
                <w:b/>
                <w:bCs/>
                <w:spacing w:val="-8"/>
                <w:sz w:val="24"/>
                <w:szCs w:val="24"/>
                <w:highlight w:val="none"/>
                <w:lang w:val="en-US" w:eastAsia="zh-CN"/>
              </w:rPr>
            </w:pPr>
            <w:r>
              <w:rPr>
                <w:rFonts w:hint="eastAsia" w:ascii="仿宋_GB2312" w:hAnsi="仿宋_GB2312" w:eastAsia="仿宋_GB2312" w:cs="仿宋_GB2312"/>
                <w:sz w:val="24"/>
                <w:szCs w:val="24"/>
                <w:highlight w:val="none"/>
                <w:lang w:val="en-US" w:eastAsia="zh-CN"/>
              </w:rPr>
              <w:t>12</w:t>
            </w:r>
          </w:p>
        </w:tc>
        <w:tc>
          <w:tcPr>
            <w:tcW w:w="1392" w:type="dxa"/>
            <w:vAlign w:val="center"/>
          </w:tcPr>
          <w:p w14:paraId="0DBE5CD3">
            <w:pPr>
              <w:ind w:firstLine="0" w:firstLineChars="0"/>
              <w:jc w:val="center"/>
              <w:rPr>
                <w:rFonts w:hint="eastAsia" w:ascii="仿宋_GB2312" w:hAnsi="仿宋_GB2312" w:eastAsia="仿宋_GB2312" w:cs="仿宋_GB2312"/>
                <w:b/>
                <w:bCs/>
                <w:spacing w:val="-8"/>
                <w:sz w:val="24"/>
                <w:szCs w:val="24"/>
                <w:highlight w:val="none"/>
                <w:lang w:val="en-US" w:eastAsia="zh-CN"/>
              </w:rPr>
            </w:pPr>
            <w:r>
              <w:rPr>
                <w:rFonts w:hint="eastAsia" w:ascii="仿宋_GB2312" w:hAnsi="仿宋_GB2312" w:eastAsia="仿宋_GB2312" w:cs="仿宋_GB2312"/>
                <w:sz w:val="24"/>
                <w:szCs w:val="24"/>
                <w:highlight w:val="none"/>
                <w:lang w:val="en-US" w:eastAsia="zh-CN"/>
              </w:rPr>
              <w:t>12</w:t>
            </w:r>
          </w:p>
        </w:tc>
        <w:tc>
          <w:tcPr>
            <w:tcW w:w="1864" w:type="dxa"/>
            <w:vAlign w:val="center"/>
          </w:tcPr>
          <w:p w14:paraId="5AFBC818">
            <w:pPr>
              <w:ind w:firstLine="0" w:firstLineChars="0"/>
              <w:jc w:val="center"/>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w:t>
            </w:r>
          </w:p>
        </w:tc>
      </w:tr>
      <w:tr w14:paraId="0C16A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906" w:type="dxa"/>
            <w:vAlign w:val="center"/>
          </w:tcPr>
          <w:p w14:paraId="6B0F353D">
            <w:pPr>
              <w:ind w:firstLine="0" w:firstLineChars="0"/>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规模化水厂设计供水规模（m³/d）</w:t>
            </w:r>
          </w:p>
        </w:tc>
        <w:tc>
          <w:tcPr>
            <w:tcW w:w="1200" w:type="dxa"/>
            <w:vAlign w:val="center"/>
          </w:tcPr>
          <w:p w14:paraId="417A6536">
            <w:pPr>
              <w:ind w:firstLine="0" w:firstLineChars="0"/>
              <w:jc w:val="center"/>
              <w:rPr>
                <w:rFonts w:hint="eastAsia" w:ascii="仿宋_GB2312" w:hAnsi="仿宋_GB2312" w:eastAsia="仿宋_GB2312" w:cs="仿宋_GB2312"/>
                <w:spacing w:val="-8"/>
                <w:sz w:val="24"/>
                <w:szCs w:val="24"/>
                <w:highlight w:val="none"/>
              </w:rPr>
            </w:pPr>
            <w:r>
              <w:rPr>
                <w:rFonts w:hint="eastAsia" w:ascii="仿宋_GB2312" w:hAnsi="仿宋_GB2312" w:eastAsia="仿宋_GB2312" w:cs="仿宋_GB2312"/>
                <w:sz w:val="24"/>
                <w:szCs w:val="24"/>
                <w:highlight w:val="none"/>
              </w:rPr>
              <w:t>44.85</w:t>
            </w:r>
          </w:p>
        </w:tc>
        <w:tc>
          <w:tcPr>
            <w:tcW w:w="1392" w:type="dxa"/>
            <w:vAlign w:val="center"/>
          </w:tcPr>
          <w:p w14:paraId="0F89B2CB">
            <w:pPr>
              <w:ind w:firstLine="0" w:firstLineChars="0"/>
              <w:jc w:val="center"/>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pacing w:val="-8"/>
                <w:sz w:val="24"/>
                <w:szCs w:val="24"/>
                <w:highlight w:val="none"/>
              </w:rPr>
              <w:t>54.85</w:t>
            </w:r>
          </w:p>
        </w:tc>
        <w:tc>
          <w:tcPr>
            <w:tcW w:w="1864" w:type="dxa"/>
            <w:vAlign w:val="center"/>
          </w:tcPr>
          <w:p w14:paraId="309CD7FC">
            <w:pPr>
              <w:ind w:firstLine="0" w:firstLineChars="0"/>
              <w:jc w:val="center"/>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+22.3%</w:t>
            </w:r>
          </w:p>
        </w:tc>
      </w:tr>
      <w:tr w14:paraId="7C35D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906" w:type="dxa"/>
            <w:vAlign w:val="center"/>
          </w:tcPr>
          <w:p w14:paraId="5C341C16">
            <w:pPr>
              <w:ind w:firstLine="0" w:firstLineChars="0"/>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规模化水厂覆盖农村人口（人）</w:t>
            </w:r>
          </w:p>
        </w:tc>
        <w:tc>
          <w:tcPr>
            <w:tcW w:w="1200" w:type="dxa"/>
            <w:vAlign w:val="center"/>
          </w:tcPr>
          <w:p w14:paraId="562669A8">
            <w:pPr>
              <w:ind w:firstLine="0" w:firstLineChars="0"/>
              <w:jc w:val="center"/>
              <w:rPr>
                <w:rFonts w:hint="eastAsia" w:ascii="仿宋_GB2312" w:hAnsi="仿宋_GB2312" w:eastAsia="仿宋_GB2312" w:cs="仿宋_GB2312"/>
                <w:spacing w:val="-8"/>
                <w:sz w:val="24"/>
                <w:szCs w:val="24"/>
                <w:highlight w:val="none"/>
                <w:lang w:val="en-US" w:eastAsia="zh"/>
                <w:woUserID w:val="1"/>
              </w:rPr>
            </w:pPr>
            <w:r>
              <w:rPr>
                <w:rFonts w:hint="eastAsia" w:ascii="仿宋_GB2312" w:hAnsi="仿宋_GB2312" w:eastAsia="仿宋_GB2312" w:cs="仿宋_GB2312"/>
                <w:spacing w:val="-8"/>
                <w:sz w:val="24"/>
                <w:szCs w:val="24"/>
                <w:highlight w:val="none"/>
                <w:lang w:val="en-US" w:eastAsia="zh-CN"/>
              </w:rPr>
              <w:t>60272</w:t>
            </w:r>
            <w:r>
              <w:rPr>
                <w:rFonts w:hint="eastAsia" w:ascii="仿宋_GB2312" w:hAnsi="仿宋_GB2312" w:eastAsia="仿宋_GB2312" w:cs="仿宋_GB2312"/>
                <w:spacing w:val="-8"/>
                <w:sz w:val="24"/>
                <w:szCs w:val="24"/>
                <w:highlight w:val="none"/>
                <w:lang w:val="en-US" w:eastAsia="zh"/>
                <w:woUserID w:val="1"/>
              </w:rPr>
              <w:t>8</w:t>
            </w:r>
          </w:p>
        </w:tc>
        <w:tc>
          <w:tcPr>
            <w:tcW w:w="1392" w:type="dxa"/>
            <w:vAlign w:val="center"/>
          </w:tcPr>
          <w:p w14:paraId="1AB040ED">
            <w:pPr>
              <w:ind w:firstLine="0" w:firstLineChars="0"/>
              <w:jc w:val="center"/>
              <w:rPr>
                <w:rFonts w:hint="eastAsia" w:ascii="仿宋_GB2312" w:hAnsi="仿宋_GB2312" w:eastAsia="仿宋_GB2312" w:cs="仿宋_GB2312"/>
                <w:spacing w:val="-8"/>
                <w:sz w:val="24"/>
                <w:szCs w:val="24"/>
                <w:highlight w:val="none"/>
                <w:lang w:val="en-US" w:eastAsia="zh"/>
                <w:woUserID w:val="3"/>
              </w:rPr>
            </w:pPr>
            <w:r>
              <w:rPr>
                <w:rFonts w:hint="eastAsia" w:ascii="仿宋_GB2312" w:hAnsi="仿宋_GB2312" w:eastAsia="仿宋_GB2312" w:cs="仿宋_GB2312"/>
                <w:spacing w:val="-8"/>
                <w:sz w:val="24"/>
                <w:szCs w:val="24"/>
                <w:highlight w:val="none"/>
                <w:lang w:val="en-US" w:eastAsia="zh-CN"/>
              </w:rPr>
              <w:t>69636</w:t>
            </w:r>
            <w:r>
              <w:rPr>
                <w:rFonts w:hint="eastAsia" w:ascii="仿宋_GB2312" w:hAnsi="仿宋_GB2312" w:eastAsia="仿宋_GB2312" w:cs="仿宋_GB2312"/>
                <w:spacing w:val="-8"/>
                <w:sz w:val="24"/>
                <w:szCs w:val="24"/>
                <w:highlight w:val="none"/>
                <w:lang w:val="en-US" w:eastAsia="zh"/>
                <w:woUserID w:val="3"/>
              </w:rPr>
              <w:t>8</w:t>
            </w:r>
          </w:p>
        </w:tc>
        <w:tc>
          <w:tcPr>
            <w:tcW w:w="1864" w:type="dxa"/>
            <w:vAlign w:val="center"/>
          </w:tcPr>
          <w:p w14:paraId="76B79757">
            <w:pPr>
              <w:ind w:firstLine="0" w:firstLineChars="0"/>
              <w:jc w:val="center"/>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sz w:val="24"/>
                <w:szCs w:val="24"/>
                <w:highlight w:val="none"/>
                <w:lang w:val="en-US" w:eastAsia="zh-CN"/>
              </w:rPr>
              <w:t>15.5</w:t>
            </w:r>
            <w:r>
              <w:rPr>
                <w:rFonts w:hint="eastAsia" w:ascii="仿宋_GB2312" w:hAnsi="仿宋_GB2312" w:eastAsia="仿宋_GB2312" w:cs="仿宋_GB2312"/>
                <w:sz w:val="24"/>
                <w:szCs w:val="24"/>
                <w:highlight w:val="none"/>
              </w:rPr>
              <w:t>%</w:t>
            </w:r>
          </w:p>
        </w:tc>
      </w:tr>
      <w:tr w14:paraId="03306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906" w:type="dxa"/>
            <w:vAlign w:val="center"/>
          </w:tcPr>
          <w:p w14:paraId="39755815">
            <w:pPr>
              <w:ind w:firstLine="0" w:firstLineChars="0"/>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单户分散供水工程数量（处）</w:t>
            </w:r>
          </w:p>
        </w:tc>
        <w:tc>
          <w:tcPr>
            <w:tcW w:w="1200" w:type="dxa"/>
            <w:vAlign w:val="center"/>
          </w:tcPr>
          <w:p w14:paraId="65C0FF42">
            <w:pPr>
              <w:ind w:firstLine="0" w:firstLineChars="0"/>
              <w:jc w:val="center"/>
              <w:rPr>
                <w:rFonts w:hint="eastAsia" w:ascii="仿宋_GB2312" w:hAnsi="仿宋_GB2312" w:eastAsia="仿宋_GB2312" w:cs="仿宋_GB2312"/>
                <w:b/>
                <w:bCs/>
                <w:spacing w:val="-8"/>
                <w:sz w:val="24"/>
                <w:szCs w:val="24"/>
                <w:highlight w:val="none"/>
                <w:lang w:val="en-US" w:eastAsia="zh-CN"/>
              </w:rPr>
            </w:pPr>
            <w:r>
              <w:rPr>
                <w:rFonts w:hint="eastAsia" w:ascii="仿宋_GB2312" w:hAnsi="仿宋_GB2312" w:eastAsia="仿宋_GB2312" w:cs="仿宋_GB2312"/>
                <w:sz w:val="24"/>
                <w:szCs w:val="24"/>
                <w:highlight w:val="none"/>
                <w:lang w:val="en-US" w:eastAsia="zh-CN"/>
              </w:rPr>
              <w:t>34055</w:t>
            </w:r>
          </w:p>
        </w:tc>
        <w:tc>
          <w:tcPr>
            <w:tcW w:w="1392" w:type="dxa"/>
            <w:vAlign w:val="center"/>
          </w:tcPr>
          <w:p w14:paraId="380D7AD1">
            <w:pPr>
              <w:ind w:firstLine="0" w:firstLineChars="0"/>
              <w:jc w:val="center"/>
              <w:rPr>
                <w:rFonts w:hint="eastAsia" w:ascii="仿宋_GB2312" w:hAnsi="仿宋_GB2312" w:eastAsia="仿宋_GB2312" w:cs="仿宋_GB2312"/>
                <w:b/>
                <w:bCs/>
                <w:spacing w:val="-8"/>
                <w:sz w:val="24"/>
                <w:szCs w:val="24"/>
                <w:highlight w:val="none"/>
                <w:lang w:val="en-US" w:eastAsia="zh-CN"/>
              </w:rPr>
            </w:pPr>
            <w:r>
              <w:rPr>
                <w:rFonts w:hint="eastAsia" w:ascii="仿宋_GB2312" w:hAnsi="仿宋_GB2312" w:eastAsia="仿宋_GB2312" w:cs="仿宋_GB2312"/>
                <w:sz w:val="24"/>
                <w:szCs w:val="24"/>
                <w:highlight w:val="none"/>
                <w:lang w:val="en-US" w:eastAsia="zh-CN"/>
              </w:rPr>
              <w:t>9134</w:t>
            </w:r>
          </w:p>
        </w:tc>
        <w:tc>
          <w:tcPr>
            <w:tcW w:w="1864" w:type="dxa"/>
            <w:vAlign w:val="center"/>
          </w:tcPr>
          <w:p w14:paraId="782D76B8">
            <w:pPr>
              <w:ind w:firstLine="0" w:firstLineChars="0"/>
              <w:jc w:val="center"/>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sz w:val="24"/>
                <w:szCs w:val="24"/>
                <w:highlight w:val="none"/>
                <w:lang w:val="en-US" w:eastAsia="zh-CN"/>
              </w:rPr>
              <w:t>73.2</w:t>
            </w:r>
            <w:r>
              <w:rPr>
                <w:rFonts w:hint="eastAsia" w:ascii="仿宋_GB2312" w:hAnsi="仿宋_GB2312" w:eastAsia="仿宋_GB2312" w:cs="仿宋_GB2312"/>
                <w:sz w:val="24"/>
                <w:szCs w:val="24"/>
                <w:highlight w:val="none"/>
              </w:rPr>
              <w:t>%（压减）</w:t>
            </w:r>
          </w:p>
        </w:tc>
      </w:tr>
      <w:tr w14:paraId="60606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906" w:type="dxa"/>
            <w:vAlign w:val="center"/>
          </w:tcPr>
          <w:p w14:paraId="72C71E0A">
            <w:pPr>
              <w:ind w:firstLine="0" w:firstLineChars="0"/>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单户分散供水工程覆盖农村人口（人）</w:t>
            </w:r>
          </w:p>
        </w:tc>
        <w:tc>
          <w:tcPr>
            <w:tcW w:w="1200" w:type="dxa"/>
            <w:vAlign w:val="center"/>
          </w:tcPr>
          <w:p w14:paraId="5BD85D5F">
            <w:pPr>
              <w:ind w:firstLine="0" w:firstLineChars="0"/>
              <w:jc w:val="center"/>
              <w:rPr>
                <w:rFonts w:hint="eastAsia" w:ascii="仿宋_GB2312" w:hAnsi="仿宋_GB2312" w:eastAsia="仿宋_GB2312" w:cs="仿宋_GB2312"/>
                <w:b/>
                <w:bCs/>
                <w:spacing w:val="-8"/>
                <w:sz w:val="24"/>
                <w:szCs w:val="24"/>
                <w:highlight w:val="none"/>
                <w:lang w:val="en-US" w:eastAsia="zh-CN"/>
              </w:rPr>
            </w:pPr>
            <w:r>
              <w:rPr>
                <w:rFonts w:hint="eastAsia" w:ascii="仿宋_GB2312" w:hAnsi="仿宋_GB2312" w:eastAsia="仿宋_GB2312" w:cs="仿宋_GB2312"/>
                <w:sz w:val="24"/>
                <w:szCs w:val="24"/>
                <w:highlight w:val="none"/>
                <w:lang w:val="en-US" w:eastAsia="zh-CN"/>
              </w:rPr>
              <w:t>125608</w:t>
            </w:r>
          </w:p>
        </w:tc>
        <w:tc>
          <w:tcPr>
            <w:tcW w:w="1392" w:type="dxa"/>
            <w:vAlign w:val="center"/>
          </w:tcPr>
          <w:p w14:paraId="1682DA1C">
            <w:pPr>
              <w:ind w:firstLine="0" w:firstLineChars="0"/>
              <w:jc w:val="center"/>
              <w:rPr>
                <w:rFonts w:hint="eastAsia" w:ascii="仿宋_GB2312" w:hAnsi="仿宋_GB2312" w:eastAsia="仿宋_GB2312" w:cs="仿宋_GB2312"/>
                <w:b/>
                <w:bCs/>
                <w:spacing w:val="-8"/>
                <w:sz w:val="24"/>
                <w:szCs w:val="24"/>
                <w:highlight w:val="none"/>
                <w:lang w:val="en-US" w:eastAsia="zh-CN"/>
              </w:rPr>
            </w:pPr>
            <w:r>
              <w:rPr>
                <w:rFonts w:hint="eastAsia" w:ascii="仿宋_GB2312" w:hAnsi="仿宋_GB2312" w:eastAsia="仿宋_GB2312" w:cs="仿宋_GB2312"/>
                <w:sz w:val="24"/>
                <w:szCs w:val="24"/>
                <w:highlight w:val="none"/>
                <w:lang w:val="en-US" w:eastAsia="zh-CN"/>
              </w:rPr>
              <w:t>31968</w:t>
            </w:r>
          </w:p>
        </w:tc>
        <w:tc>
          <w:tcPr>
            <w:tcW w:w="1864" w:type="dxa"/>
            <w:vAlign w:val="center"/>
          </w:tcPr>
          <w:p w14:paraId="34F61A6C">
            <w:pPr>
              <w:ind w:firstLine="0" w:firstLineChars="0"/>
              <w:jc w:val="center"/>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sz w:val="24"/>
                <w:szCs w:val="24"/>
                <w:highlight w:val="none"/>
                <w:lang w:val="en-US" w:eastAsia="zh-CN"/>
              </w:rPr>
              <w:t>74.5</w:t>
            </w:r>
            <w:r>
              <w:rPr>
                <w:rFonts w:hint="eastAsia" w:ascii="仿宋_GB2312" w:hAnsi="仿宋_GB2312" w:eastAsia="仿宋_GB2312" w:cs="仿宋_GB2312"/>
                <w:sz w:val="24"/>
                <w:szCs w:val="24"/>
                <w:highlight w:val="none"/>
              </w:rPr>
              <w:t>%（压减）</w:t>
            </w:r>
          </w:p>
        </w:tc>
      </w:tr>
      <w:tr w14:paraId="14966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906" w:type="dxa"/>
            <w:vAlign w:val="center"/>
          </w:tcPr>
          <w:p w14:paraId="6D89FA29">
            <w:pPr>
              <w:ind w:firstLine="0" w:firstLineChars="0"/>
              <w:rPr>
                <w:rFonts w:hint="eastAsia" w:ascii="仿宋_GB2312" w:hAnsi="仿宋_GB2312" w:eastAsia="仿宋_GB2312" w:cs="仿宋_GB2312"/>
                <w:b/>
                <w:bCs/>
                <w:spacing w:val="-8"/>
                <w:sz w:val="24"/>
                <w:szCs w:val="24"/>
                <w:highlight w:val="none"/>
              </w:rPr>
            </w:pPr>
            <w:bookmarkStart w:id="318" w:name="OLE_LINK31"/>
            <w:r>
              <w:rPr>
                <w:rFonts w:hint="eastAsia" w:ascii="仿宋_GB2312" w:hAnsi="仿宋_GB2312" w:eastAsia="仿宋_GB2312" w:cs="仿宋_GB2312"/>
                <w:sz w:val="24"/>
                <w:szCs w:val="24"/>
                <w:highlight w:val="none"/>
              </w:rPr>
              <w:t>农村</w:t>
            </w:r>
            <w:bookmarkEnd w:id="318"/>
            <w:r>
              <w:rPr>
                <w:rFonts w:hint="eastAsia" w:ascii="仿宋_GB2312" w:hAnsi="仿宋_GB2312" w:eastAsia="仿宋_GB2312" w:cs="仿宋_GB2312"/>
                <w:sz w:val="24"/>
                <w:szCs w:val="24"/>
                <w:highlight w:val="none"/>
              </w:rPr>
              <w:t>自来水普及率</w:t>
            </w:r>
          </w:p>
        </w:tc>
        <w:tc>
          <w:tcPr>
            <w:tcW w:w="1200" w:type="dxa"/>
            <w:vAlign w:val="center"/>
          </w:tcPr>
          <w:p w14:paraId="614EF958">
            <w:pPr>
              <w:ind w:firstLine="0" w:firstLineChars="0"/>
              <w:jc w:val="center"/>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72%</w:t>
            </w:r>
          </w:p>
        </w:tc>
        <w:tc>
          <w:tcPr>
            <w:tcW w:w="1392" w:type="dxa"/>
            <w:vAlign w:val="center"/>
          </w:tcPr>
          <w:p w14:paraId="2DC087F3">
            <w:pPr>
              <w:ind w:firstLine="0" w:firstLineChars="0"/>
              <w:jc w:val="center"/>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95%以上</w:t>
            </w:r>
          </w:p>
        </w:tc>
        <w:tc>
          <w:tcPr>
            <w:tcW w:w="1864" w:type="dxa"/>
            <w:vAlign w:val="center"/>
          </w:tcPr>
          <w:p w14:paraId="4E2C4D18">
            <w:pPr>
              <w:ind w:firstLine="0" w:firstLineChars="0"/>
              <w:jc w:val="center"/>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+23个百分点</w:t>
            </w:r>
          </w:p>
        </w:tc>
      </w:tr>
      <w:tr w14:paraId="55D4D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906" w:type="dxa"/>
            <w:vAlign w:val="center"/>
          </w:tcPr>
          <w:p w14:paraId="68FCA661">
            <w:pPr>
              <w:ind w:firstLine="0" w:firstLineChars="0"/>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水质合格率</w:t>
            </w:r>
          </w:p>
        </w:tc>
        <w:tc>
          <w:tcPr>
            <w:tcW w:w="1200" w:type="dxa"/>
            <w:vAlign w:val="center"/>
          </w:tcPr>
          <w:p w14:paraId="3F87C1B6">
            <w:pPr>
              <w:ind w:firstLine="0" w:firstLineChars="0"/>
              <w:jc w:val="center"/>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95.54%</w:t>
            </w:r>
          </w:p>
        </w:tc>
        <w:tc>
          <w:tcPr>
            <w:tcW w:w="1392" w:type="dxa"/>
            <w:vAlign w:val="center"/>
          </w:tcPr>
          <w:p w14:paraId="561F413A">
            <w:pPr>
              <w:ind w:firstLine="0" w:firstLineChars="0"/>
              <w:jc w:val="center"/>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100%</w:t>
            </w:r>
          </w:p>
        </w:tc>
        <w:tc>
          <w:tcPr>
            <w:tcW w:w="1864" w:type="dxa"/>
            <w:vAlign w:val="center"/>
          </w:tcPr>
          <w:p w14:paraId="08162D4F">
            <w:pPr>
              <w:ind w:firstLine="0" w:firstLineChars="0"/>
              <w:jc w:val="center"/>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+4.46个百分点</w:t>
            </w:r>
          </w:p>
        </w:tc>
      </w:tr>
      <w:tr w14:paraId="7C4D4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906" w:type="dxa"/>
            <w:vAlign w:val="center"/>
          </w:tcPr>
          <w:p w14:paraId="6255AFF1">
            <w:pPr>
              <w:ind w:firstLine="0" w:firstLineChars="0"/>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农村供水入户率</w:t>
            </w:r>
          </w:p>
        </w:tc>
        <w:tc>
          <w:tcPr>
            <w:tcW w:w="1200" w:type="dxa"/>
            <w:vAlign w:val="center"/>
          </w:tcPr>
          <w:p w14:paraId="0C4B99C1">
            <w:pPr>
              <w:ind w:firstLine="0" w:firstLineChars="0"/>
              <w:jc w:val="center"/>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65%</w:t>
            </w:r>
          </w:p>
        </w:tc>
        <w:tc>
          <w:tcPr>
            <w:tcW w:w="1392" w:type="dxa"/>
            <w:vAlign w:val="center"/>
          </w:tcPr>
          <w:p w14:paraId="4B56357D">
            <w:pPr>
              <w:ind w:firstLine="0" w:firstLineChars="0"/>
              <w:jc w:val="center"/>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95%以上</w:t>
            </w:r>
          </w:p>
        </w:tc>
        <w:tc>
          <w:tcPr>
            <w:tcW w:w="1864" w:type="dxa"/>
            <w:vAlign w:val="center"/>
          </w:tcPr>
          <w:p w14:paraId="454ED4FA">
            <w:pPr>
              <w:ind w:firstLine="0" w:firstLineChars="0"/>
              <w:jc w:val="center"/>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+30个百分点</w:t>
            </w:r>
          </w:p>
        </w:tc>
      </w:tr>
      <w:tr w14:paraId="21793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906" w:type="dxa"/>
            <w:vAlign w:val="center"/>
          </w:tcPr>
          <w:p w14:paraId="3BFAFCFC">
            <w:pPr>
              <w:ind w:firstLine="0" w:firstLineChars="0"/>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连续24小时供水比例</w:t>
            </w:r>
          </w:p>
        </w:tc>
        <w:tc>
          <w:tcPr>
            <w:tcW w:w="1200" w:type="dxa"/>
            <w:vAlign w:val="center"/>
          </w:tcPr>
          <w:p w14:paraId="26C81768">
            <w:pPr>
              <w:ind w:firstLine="0" w:firstLineChars="0"/>
              <w:jc w:val="center"/>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65%</w:t>
            </w:r>
          </w:p>
        </w:tc>
        <w:tc>
          <w:tcPr>
            <w:tcW w:w="1392" w:type="dxa"/>
            <w:vAlign w:val="center"/>
          </w:tcPr>
          <w:p w14:paraId="6536ABAC">
            <w:pPr>
              <w:ind w:firstLine="0" w:firstLineChars="0"/>
              <w:jc w:val="center"/>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95%以上</w:t>
            </w:r>
          </w:p>
        </w:tc>
        <w:tc>
          <w:tcPr>
            <w:tcW w:w="1864" w:type="dxa"/>
            <w:vAlign w:val="center"/>
          </w:tcPr>
          <w:p w14:paraId="7D64DCD7">
            <w:pPr>
              <w:ind w:firstLine="0" w:firstLineChars="0"/>
              <w:jc w:val="center"/>
              <w:rPr>
                <w:rFonts w:hint="eastAsia" w:ascii="仿宋_GB2312" w:hAnsi="仿宋_GB2312" w:eastAsia="仿宋_GB2312" w:cs="仿宋_GB2312"/>
                <w:b/>
                <w:bCs/>
                <w:spacing w:val="-8"/>
                <w:sz w:val="24"/>
                <w:szCs w:val="24"/>
                <w:highlight w:val="none"/>
              </w:rPr>
            </w:pPr>
            <w:r>
              <w:rPr>
                <w:rFonts w:hint="eastAsia" w:ascii="仿宋_GB2312" w:hAnsi="仿宋_GB2312" w:eastAsia="仿宋_GB2312" w:cs="仿宋_GB2312"/>
                <w:sz w:val="24"/>
                <w:szCs w:val="24"/>
                <w:highlight w:val="none"/>
              </w:rPr>
              <w:t>+30个百分点</w:t>
            </w:r>
          </w:p>
        </w:tc>
      </w:tr>
    </w:tbl>
    <w:p w14:paraId="417B04F7">
      <w:pPr>
        <w:ind w:firstLine="570"/>
        <w:rPr>
          <w:rFonts w:hint="eastAsia" w:ascii="仿宋_GB2312" w:hAnsi="仿宋_GB2312" w:eastAsia="仿宋_GB2312" w:cs="仿宋_GB2312"/>
          <w:b/>
          <w:bCs/>
          <w:spacing w:val="-8"/>
          <w:sz w:val="24"/>
          <w:szCs w:val="24"/>
          <w:highlight w:val="none"/>
        </w:rPr>
      </w:pPr>
    </w:p>
    <w:p w14:paraId="17FA5DD9">
      <w:pPr>
        <w:pStyle w:val="4"/>
        <w:keepNext/>
        <w:keepLines/>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黑体" w:hAnsi="黑体" w:eastAsia="黑体" w:cs="黑体"/>
          <w:b w:val="0"/>
          <w:bCs/>
          <w:sz w:val="32"/>
          <w:szCs w:val="32"/>
          <w:highlight w:val="none"/>
        </w:rPr>
        <w:sectPr>
          <w:pgSz w:w="11906" w:h="16838"/>
          <w:pgMar w:top="1440" w:right="1800" w:bottom="1440" w:left="1800" w:header="851" w:footer="992" w:gutter="0"/>
          <w:pgNumType w:fmt="decimal"/>
          <w:cols w:space="425" w:num="1"/>
          <w:docGrid w:type="lines" w:linePitch="312" w:charSpace="0"/>
        </w:sectPr>
      </w:pPr>
    </w:p>
    <w:p w14:paraId="7AEF01FB">
      <w:pPr>
        <w:pStyle w:val="4"/>
        <w:keepNext/>
        <w:keepLines/>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b w:val="0"/>
          <w:bCs/>
          <w:sz w:val="32"/>
          <w:szCs w:val="32"/>
          <w:highlight w:val="none"/>
        </w:rPr>
      </w:pPr>
      <w:bookmarkStart w:id="319" w:name="_Toc18155"/>
      <w:bookmarkStart w:id="320" w:name="_Toc2433"/>
      <w:r>
        <w:rPr>
          <w:rFonts w:hint="eastAsia" w:ascii="黑体" w:hAnsi="黑体" w:eastAsia="黑体" w:cs="黑体"/>
          <w:b w:val="0"/>
          <w:bCs/>
          <w:sz w:val="32"/>
          <w:szCs w:val="32"/>
          <w:highlight w:val="none"/>
        </w:rPr>
        <w:t>保障措施</w:t>
      </w:r>
      <w:bookmarkEnd w:id="319"/>
      <w:bookmarkEnd w:id="320"/>
    </w:p>
    <w:p w14:paraId="3E2BE435">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321" w:name="_Toc19153"/>
      <w:bookmarkStart w:id="322" w:name="_Toc22636"/>
      <w:bookmarkStart w:id="323" w:name="OLE_LINK75"/>
      <w:r>
        <w:rPr>
          <w:rFonts w:hint="eastAsia" w:ascii="楷体" w:hAnsi="楷体" w:eastAsia="楷体" w:cs="楷体"/>
          <w:sz w:val="32"/>
          <w:szCs w:val="32"/>
          <w:highlight w:val="none"/>
        </w:rPr>
        <w:t>组织措施</w:t>
      </w:r>
      <w:bookmarkEnd w:id="321"/>
      <w:bookmarkEnd w:id="322"/>
    </w:p>
    <w:p w14:paraId="34DE9FFE">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textAlignment w:val="auto"/>
        <w:rPr>
          <w:rFonts w:hint="eastAsia" w:ascii="仿宋_GB2312" w:hAnsi="仿宋_GB2312" w:eastAsia="仿宋_GB2312" w:cs="仿宋_GB2312"/>
          <w:sz w:val="32"/>
          <w:szCs w:val="32"/>
          <w:highlight w:val="none"/>
        </w:rPr>
      </w:pPr>
      <w:bookmarkStart w:id="324" w:name="_Toc32330"/>
      <w:bookmarkStart w:id="325" w:name="_Toc18825"/>
      <w:r>
        <w:rPr>
          <w:rFonts w:hint="eastAsia" w:ascii="仿宋_GB2312" w:hAnsi="仿宋_GB2312" w:eastAsia="仿宋_GB2312" w:cs="仿宋_GB2312"/>
          <w:sz w:val="32"/>
          <w:szCs w:val="32"/>
          <w:highlight w:val="none"/>
        </w:rPr>
        <w:t>明确主要责任人</w:t>
      </w:r>
      <w:bookmarkEnd w:id="324"/>
      <w:bookmarkEnd w:id="325"/>
    </w:p>
    <w:p w14:paraId="5BACABD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1）县级责任人：县政府副县长；</w:t>
      </w:r>
    </w:p>
    <w:p w14:paraId="0A492569">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2）部门责任人：县水利局局长、县发改委主任、县财政局局长、县农业农村局局长、</w:t>
      </w:r>
      <w:bookmarkStart w:id="326" w:name="_Hlk216995402"/>
      <w:r>
        <w:rPr>
          <w:rFonts w:hint="eastAsia" w:ascii="仿宋_GB2312" w:hAnsi="仿宋_GB2312" w:eastAsia="仿宋_GB2312" w:cs="仿宋_GB2312"/>
          <w:sz w:val="32"/>
          <w:szCs w:val="32"/>
          <w:highlight w:val="none"/>
        </w:rPr>
        <w:t>县生态环境局</w:t>
      </w:r>
      <w:bookmarkStart w:id="327" w:name="OLE_LINK28"/>
      <w:r>
        <w:rPr>
          <w:rFonts w:hint="eastAsia" w:ascii="仿宋_GB2312" w:hAnsi="仿宋_GB2312" w:eastAsia="仿宋_GB2312" w:cs="仿宋_GB2312"/>
          <w:sz w:val="32"/>
          <w:szCs w:val="32"/>
          <w:highlight w:val="none"/>
        </w:rPr>
        <w:t>局长</w:t>
      </w:r>
      <w:bookmarkEnd w:id="327"/>
      <w:r>
        <w:rPr>
          <w:rFonts w:hint="eastAsia" w:ascii="仿宋_GB2312" w:hAnsi="仿宋_GB2312" w:eastAsia="仿宋_GB2312" w:cs="仿宋_GB2312"/>
          <w:sz w:val="32"/>
          <w:szCs w:val="32"/>
          <w:highlight w:val="none"/>
        </w:rPr>
        <w:t>、县城市管理和综合执法局</w:t>
      </w:r>
      <w:bookmarkEnd w:id="326"/>
      <w:r>
        <w:rPr>
          <w:rFonts w:hint="eastAsia" w:ascii="仿宋_GB2312" w:hAnsi="仿宋_GB2312" w:eastAsia="仿宋_GB2312" w:cs="仿宋_GB2312"/>
          <w:sz w:val="32"/>
          <w:szCs w:val="32"/>
          <w:highlight w:val="none"/>
        </w:rPr>
        <w:t>局长、县卫健委主任、县自然资源局局长、县科工局局长；</w:t>
      </w:r>
    </w:p>
    <w:p w14:paraId="332CD98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3）乡镇（街道）责任人：各乡镇（街道）主要负责同志。</w:t>
      </w:r>
    </w:p>
    <w:p w14:paraId="5F817FF0">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
          <w:woUserID w:val="1"/>
        </w:rPr>
        <w:t>4</w:t>
      </w:r>
      <w:r>
        <w:rPr>
          <w:rFonts w:hint="eastAsia" w:ascii="仿宋_GB2312" w:hAnsi="仿宋_GB2312" w:eastAsia="仿宋_GB2312" w:cs="仿宋_GB2312"/>
          <w:sz w:val="32"/>
          <w:szCs w:val="32"/>
          <w:highlight w:val="none"/>
          <w:woUserID w:val="1"/>
        </w:rPr>
        <w:t>）</w:t>
      </w:r>
      <w:r>
        <w:rPr>
          <w:rFonts w:hint="eastAsia" w:ascii="仿宋_GB2312" w:hAnsi="仿宋_GB2312" w:eastAsia="仿宋_GB2312" w:cs="仿宋_GB2312"/>
          <w:sz w:val="32"/>
          <w:szCs w:val="32"/>
          <w:highlight w:val="none"/>
          <w:lang w:eastAsia="zh"/>
          <w:woUserID w:val="1"/>
        </w:rPr>
        <w:t>县域统管责任人</w:t>
      </w:r>
      <w:r>
        <w:rPr>
          <w:rFonts w:hint="eastAsia" w:ascii="仿宋_GB2312" w:hAnsi="仿宋_GB2312" w:eastAsia="仿宋_GB2312" w:cs="仿宋_GB2312"/>
          <w:sz w:val="32"/>
          <w:szCs w:val="32"/>
          <w:highlight w:val="none"/>
          <w:woUserID w:val="1"/>
        </w:rPr>
        <w:t>：</w:t>
      </w:r>
      <w:r>
        <w:rPr>
          <w:rFonts w:hint="eastAsia" w:ascii="仿宋_GB2312" w:hAnsi="仿宋_GB2312" w:eastAsia="仿宋_GB2312" w:cs="仿宋_GB2312"/>
          <w:sz w:val="32"/>
          <w:szCs w:val="32"/>
          <w:highlight w:val="none"/>
          <w:lang w:eastAsia="zh"/>
          <w:woUserID w:val="1"/>
        </w:rPr>
        <w:t>江西粤海公用事业集团有限公司主要负责人</w:t>
      </w:r>
      <w:r>
        <w:rPr>
          <w:rFonts w:hint="eastAsia" w:ascii="仿宋_GB2312" w:hAnsi="仿宋_GB2312" w:eastAsia="仿宋_GB2312" w:cs="仿宋_GB2312"/>
          <w:sz w:val="32"/>
          <w:szCs w:val="32"/>
          <w:highlight w:val="none"/>
          <w:woUserID w:val="1"/>
        </w:rPr>
        <w:t>。</w:t>
      </w:r>
    </w:p>
    <w:p w14:paraId="5AA0F1B8">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textAlignment w:val="auto"/>
        <w:rPr>
          <w:rFonts w:hint="eastAsia" w:ascii="仿宋_GB2312" w:hAnsi="仿宋_GB2312" w:eastAsia="仿宋_GB2312" w:cs="仿宋_GB2312"/>
          <w:sz w:val="32"/>
          <w:szCs w:val="32"/>
          <w:highlight w:val="none"/>
        </w:rPr>
      </w:pPr>
      <w:bookmarkStart w:id="328" w:name="_Toc12691"/>
      <w:bookmarkStart w:id="329" w:name="_Toc25028"/>
      <w:r>
        <w:rPr>
          <w:rFonts w:hint="eastAsia" w:ascii="仿宋_GB2312" w:hAnsi="仿宋_GB2312" w:eastAsia="仿宋_GB2312" w:cs="仿宋_GB2312"/>
          <w:sz w:val="32"/>
          <w:szCs w:val="32"/>
          <w:highlight w:val="none"/>
        </w:rPr>
        <w:t>成立</w:t>
      </w:r>
      <w:r>
        <w:rPr>
          <w:rFonts w:hint="eastAsia" w:ascii="仿宋_GB2312" w:hAnsi="仿宋_GB2312" w:eastAsia="仿宋_GB2312" w:cs="仿宋_GB2312"/>
          <w:sz w:val="32"/>
          <w:szCs w:val="32"/>
          <w:highlight w:val="none"/>
          <w:lang w:val="en-US" w:eastAsia="zh-CN"/>
        </w:rPr>
        <w:t>工作专班</w:t>
      </w:r>
      <w:bookmarkEnd w:id="328"/>
      <w:bookmarkEnd w:id="329"/>
    </w:p>
    <w:p w14:paraId="6B660119">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由副县长任组长，县水利局、县发改委、县财政局、县农业农村局、县生态环境局、县城市管理和综合执法局、各乡镇政府</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县域统管主体等相关单位</w:t>
      </w:r>
      <w:r>
        <w:rPr>
          <w:rFonts w:hint="eastAsia" w:ascii="仿宋_GB2312" w:hAnsi="仿宋_GB2312" w:eastAsia="仿宋_GB2312" w:cs="仿宋_GB2312"/>
          <w:sz w:val="32"/>
          <w:szCs w:val="32"/>
          <w:highlight w:val="none"/>
        </w:rPr>
        <w:t>为成员单位，下设办公室（设在县水利局），负责日常协调、进度督查、考核验收。</w:t>
      </w:r>
    </w:p>
    <w:p w14:paraId="43451371">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textAlignment w:val="auto"/>
        <w:rPr>
          <w:rFonts w:hint="eastAsia" w:ascii="仿宋_GB2312" w:hAnsi="仿宋_GB2312" w:eastAsia="仿宋_GB2312" w:cs="仿宋_GB2312"/>
          <w:sz w:val="32"/>
          <w:szCs w:val="32"/>
          <w:highlight w:val="none"/>
        </w:rPr>
      </w:pPr>
      <w:bookmarkStart w:id="330" w:name="_Toc658"/>
      <w:bookmarkStart w:id="331" w:name="_Toc20809"/>
      <w:r>
        <w:rPr>
          <w:rFonts w:hint="eastAsia" w:ascii="仿宋_GB2312" w:hAnsi="仿宋_GB2312" w:eastAsia="仿宋_GB2312" w:cs="仿宋_GB2312"/>
          <w:sz w:val="32"/>
          <w:szCs w:val="32"/>
          <w:highlight w:val="none"/>
        </w:rPr>
        <w:t>部门职责分工</w:t>
      </w:r>
      <w:bookmarkEnd w:id="330"/>
      <w:bookmarkEnd w:id="331"/>
    </w:p>
    <w:p w14:paraId="4C07BD8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1）县水利局：牵头编制方案、组织工程实施、技术指导、质量监督；</w:t>
      </w:r>
    </w:p>
    <w:p w14:paraId="5FFEB7F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w:t>
      </w:r>
      <w:bookmarkStart w:id="332" w:name="OLE_LINK40"/>
      <w:bookmarkStart w:id="333" w:name="OLE_LINK39"/>
      <w:r>
        <w:rPr>
          <w:rFonts w:hint="eastAsia" w:ascii="仿宋_GB2312" w:hAnsi="仿宋_GB2312" w:eastAsia="仿宋_GB2312" w:cs="仿宋_GB2312"/>
          <w:sz w:val="32"/>
          <w:szCs w:val="32"/>
          <w:highlight w:val="none"/>
        </w:rPr>
        <w:t>）</w:t>
      </w:r>
      <w:bookmarkEnd w:id="332"/>
      <w:bookmarkEnd w:id="333"/>
      <w:r>
        <w:rPr>
          <w:rFonts w:hint="eastAsia" w:ascii="仿宋_GB2312" w:hAnsi="仿宋_GB2312" w:eastAsia="仿宋_GB2312" w:cs="仿宋_GB2312"/>
          <w:sz w:val="32"/>
          <w:szCs w:val="32"/>
          <w:highlight w:val="none"/>
        </w:rPr>
        <w:t>县发改委：核定水价、争取专项债、审批项目；</w:t>
      </w:r>
    </w:p>
    <w:p w14:paraId="49E442FD">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w:t>
      </w:r>
      <w:bookmarkStart w:id="334" w:name="_Hlk216995460"/>
      <w:r>
        <w:rPr>
          <w:rFonts w:hint="eastAsia" w:ascii="仿宋_GB2312" w:hAnsi="仿宋_GB2312" w:eastAsia="仿宋_GB2312" w:cs="仿宋_GB2312"/>
          <w:sz w:val="32"/>
          <w:szCs w:val="32"/>
          <w:highlight w:val="none"/>
        </w:rPr>
        <w:t>县财政局</w:t>
      </w:r>
      <w:bookmarkEnd w:id="334"/>
      <w:r>
        <w:rPr>
          <w:rFonts w:hint="eastAsia" w:ascii="仿宋_GB2312" w:hAnsi="仿宋_GB2312" w:eastAsia="仿宋_GB2312" w:cs="仿宋_GB2312"/>
          <w:sz w:val="32"/>
          <w:szCs w:val="32"/>
          <w:highlight w:val="none"/>
        </w:rPr>
        <w:t>：落实专项经费、监管资金使用；</w:t>
      </w:r>
    </w:p>
    <w:p w14:paraId="54EACFF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4）县农业农村局：利用乡村振兴资金，优先保障脱贫户、监测对象改造需求；</w:t>
      </w:r>
    </w:p>
    <w:p w14:paraId="4F38C0F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5）南昌市昌南生态环境局：负责饮用水水源地保护监管；</w:t>
      </w:r>
    </w:p>
    <w:p w14:paraId="4F50CC0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6）县城市管理和综合执法局：推动城市供水管网向周边农村延伸；</w:t>
      </w:r>
    </w:p>
    <w:p w14:paraId="69B1119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7）县卫健委：负责农村饮用水卫生监督监测工作，强化水质问题监督执法；</w:t>
      </w:r>
    </w:p>
    <w:p w14:paraId="48FDE71D">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8）县自然资源局：负责农村饮水安全项目用地需求保障；</w:t>
      </w:r>
    </w:p>
    <w:p w14:paraId="4F98220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9）县科工局：优化考核政策，激励国有水务企业主动承担农村供水事务；</w:t>
      </w:r>
    </w:p>
    <w:p w14:paraId="6E487FC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县政数局：推进县域农村供水数字化平台建设，助力农村供水“智水”升级。</w:t>
      </w:r>
    </w:p>
    <w:p w14:paraId="1A5DF588">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）各乡镇（街道）政府：负责征地拆迁、群众协调、矛盾化解</w:t>
      </w:r>
      <w:r>
        <w:rPr>
          <w:rFonts w:hint="eastAsia" w:ascii="仿宋_GB2312" w:hAnsi="仿宋_GB2312" w:eastAsia="仿宋_GB2312" w:cs="仿宋_GB2312"/>
          <w:sz w:val="32"/>
          <w:szCs w:val="32"/>
          <w:highlight w:val="none"/>
          <w:lang w:eastAsia="zh-CN"/>
        </w:rPr>
        <w:t>。</w:t>
      </w:r>
    </w:p>
    <w:p w14:paraId="119FA92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县域统管主体</w:t>
      </w:r>
      <w:r>
        <w:rPr>
          <w:rFonts w:hint="eastAsia" w:ascii="仿宋_GB2312" w:hAnsi="仿宋_GB2312" w:eastAsia="仿宋_GB2312" w:cs="仿宋_GB2312"/>
          <w:sz w:val="32"/>
          <w:szCs w:val="32"/>
          <w:highlight w:val="none"/>
        </w:rPr>
        <w:t>：负责</w:t>
      </w:r>
      <w:r>
        <w:rPr>
          <w:rFonts w:hint="eastAsia" w:ascii="仿宋_GB2312" w:hAnsi="仿宋_GB2312" w:eastAsia="仿宋_GB2312" w:cs="仿宋_GB2312"/>
          <w:sz w:val="32"/>
          <w:szCs w:val="32"/>
          <w:highlight w:val="none"/>
          <w:lang w:val="en-US" w:eastAsia="zh-CN"/>
        </w:rPr>
        <w:t>县域统管专业化运营管理以及相关工程建设推进。</w:t>
      </w:r>
      <w:bookmarkEnd w:id="323"/>
    </w:p>
    <w:p w14:paraId="21A12279">
      <w:pPr>
        <w:pStyle w:val="5"/>
        <w:keepNext/>
        <w:keepLines/>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楷体" w:hAnsi="楷体" w:eastAsia="楷体" w:cs="楷体"/>
          <w:sz w:val="32"/>
          <w:szCs w:val="32"/>
          <w:highlight w:val="none"/>
        </w:rPr>
      </w:pPr>
      <w:bookmarkStart w:id="335" w:name="_Toc4915"/>
      <w:bookmarkStart w:id="336" w:name="_Toc10578"/>
      <w:bookmarkStart w:id="337" w:name="OLE_LINK76"/>
      <w:r>
        <w:rPr>
          <w:rFonts w:hint="eastAsia" w:ascii="楷体" w:hAnsi="楷体" w:eastAsia="楷体" w:cs="楷体"/>
          <w:sz w:val="32"/>
          <w:szCs w:val="32"/>
          <w:highlight w:val="none"/>
        </w:rPr>
        <w:t>资金落实</w:t>
      </w:r>
      <w:bookmarkEnd w:id="335"/>
      <w:bookmarkEnd w:id="336"/>
    </w:p>
    <w:p w14:paraId="22C5DB15">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textAlignment w:val="auto"/>
        <w:rPr>
          <w:rFonts w:hint="eastAsia" w:ascii="仿宋_GB2312" w:hAnsi="仿宋_GB2312" w:eastAsia="仿宋_GB2312" w:cs="仿宋_GB2312"/>
          <w:sz w:val="32"/>
          <w:szCs w:val="32"/>
          <w:highlight w:val="none"/>
        </w:rPr>
      </w:pPr>
      <w:bookmarkStart w:id="338" w:name="_Toc4123"/>
      <w:bookmarkStart w:id="339" w:name="_Toc21450"/>
      <w:r>
        <w:rPr>
          <w:rFonts w:hint="eastAsia" w:ascii="仿宋_GB2312" w:hAnsi="仿宋_GB2312" w:eastAsia="仿宋_GB2312" w:cs="仿宋_GB2312"/>
          <w:sz w:val="32"/>
          <w:szCs w:val="32"/>
          <w:highlight w:val="none"/>
        </w:rPr>
        <w:t>争取地方政府专项债</w:t>
      </w:r>
      <w:bookmarkEnd w:id="338"/>
      <w:bookmarkEnd w:id="339"/>
    </w:p>
    <w:p w14:paraId="1B727033">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2025年申报发行8983万元，2026年申报5000万元。</w:t>
      </w:r>
    </w:p>
    <w:p w14:paraId="10471784">
      <w:pPr>
        <w:pStyle w:val="6"/>
        <w:keepNext/>
        <w:keepLines/>
        <w:pageBreakBefore w:val="0"/>
        <w:widowControl w:val="0"/>
        <w:kinsoku/>
        <w:wordWrap/>
        <w:overflowPunct/>
        <w:topLinePunct w:val="0"/>
        <w:autoSpaceDE/>
        <w:autoSpaceDN/>
        <w:bidi w:val="0"/>
        <w:adjustRightInd/>
        <w:snapToGrid/>
        <w:spacing w:line="560" w:lineRule="exact"/>
        <w:ind w:left="720" w:leftChars="300" w:firstLine="0" w:firstLineChars="0"/>
        <w:textAlignment w:val="auto"/>
        <w:rPr>
          <w:rFonts w:hint="eastAsia" w:ascii="仿宋_GB2312" w:hAnsi="仿宋_GB2312" w:eastAsia="仿宋_GB2312" w:cs="仿宋_GB2312"/>
          <w:sz w:val="32"/>
          <w:szCs w:val="32"/>
          <w:highlight w:val="none"/>
        </w:rPr>
      </w:pPr>
      <w:bookmarkStart w:id="340" w:name="_Toc9986"/>
      <w:bookmarkStart w:id="341" w:name="_Toc22944"/>
      <w:r>
        <w:rPr>
          <w:rFonts w:hint="eastAsia" w:ascii="仿宋_GB2312" w:hAnsi="仿宋_GB2312" w:eastAsia="仿宋_GB2312" w:cs="仿宋_GB2312"/>
          <w:sz w:val="32"/>
          <w:szCs w:val="32"/>
          <w:highlight w:val="none"/>
        </w:rPr>
        <w:t>统筹多渠道资金</w:t>
      </w:r>
      <w:bookmarkEnd w:id="340"/>
      <w:bookmarkEnd w:id="341"/>
    </w:p>
    <w:p w14:paraId="125DE54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（1）中央水利发展资金：统筹每年上级下达的各类维养资金，用于水厂维修养护和水质提升，其中2025年109万元，2026年72万元；</w:t>
      </w:r>
    </w:p>
    <w:p w14:paraId="3731320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（2）三峡后续专项补助资金：积极争取申报三峡后续专项补助资金；</w:t>
      </w:r>
    </w:p>
    <w:p w14:paraId="7559059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（3）农村供水维养资金：每年从水费收入中提取5%，用于日常维修。</w:t>
      </w:r>
    </w:p>
    <w:p w14:paraId="6966DD7D">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
          <w:woUserID w:val="1"/>
        </w:rPr>
      </w:pPr>
      <w:r>
        <w:rPr>
          <w:rFonts w:hint="eastAsia" w:ascii="仿宋_GB2312" w:hAnsi="仿宋_GB2312" w:eastAsia="仿宋_GB2312" w:cs="仿宋_GB2312"/>
          <w:sz w:val="32"/>
          <w:szCs w:val="32"/>
          <w:highlight w:val="none"/>
          <w:woUserID w:val="1"/>
        </w:rPr>
        <w:t>（</w:t>
      </w:r>
      <w:r>
        <w:rPr>
          <w:rFonts w:hint="eastAsia" w:ascii="仿宋_GB2312" w:hAnsi="仿宋_GB2312" w:eastAsia="仿宋_GB2312" w:cs="仿宋_GB2312"/>
          <w:sz w:val="32"/>
          <w:szCs w:val="32"/>
          <w:highlight w:val="none"/>
          <w:lang w:eastAsia="zh"/>
          <w:woUserID w:val="1"/>
        </w:rPr>
        <w:t>4</w:t>
      </w:r>
      <w:r>
        <w:rPr>
          <w:rFonts w:hint="eastAsia" w:ascii="仿宋_GB2312" w:hAnsi="仿宋_GB2312" w:eastAsia="仿宋_GB2312" w:cs="仿宋_GB2312"/>
          <w:sz w:val="32"/>
          <w:szCs w:val="32"/>
          <w:highlight w:val="none"/>
          <w:woUserID w:val="1"/>
        </w:rPr>
        <w:t>）</w:t>
      </w:r>
      <w:r>
        <w:rPr>
          <w:rFonts w:hint="eastAsia" w:ascii="仿宋_GB2312" w:hAnsi="仿宋_GB2312" w:eastAsia="仿宋_GB2312" w:cs="仿宋_GB2312"/>
          <w:sz w:val="32"/>
          <w:szCs w:val="32"/>
          <w:highlight w:val="none"/>
          <w:lang w:eastAsia="zh"/>
          <w:woUserID w:val="1"/>
        </w:rPr>
        <w:t>引入社会资本</w:t>
      </w:r>
      <w:r>
        <w:rPr>
          <w:rFonts w:hint="eastAsia" w:ascii="仿宋_GB2312" w:hAnsi="仿宋_GB2312" w:eastAsia="仿宋_GB2312" w:cs="仿宋_GB2312"/>
          <w:sz w:val="32"/>
          <w:szCs w:val="32"/>
          <w:highlight w:val="none"/>
          <w:woUserID w:val="1"/>
        </w:rPr>
        <w:t>：</w:t>
      </w:r>
      <w:r>
        <w:rPr>
          <w:rFonts w:hint="eastAsia" w:ascii="仿宋_GB2312" w:hAnsi="仿宋_GB2312" w:eastAsia="仿宋_GB2312" w:cs="仿宋_GB2312"/>
          <w:sz w:val="32"/>
          <w:szCs w:val="32"/>
          <w:highlight w:val="none"/>
          <w:lang w:eastAsia="zh"/>
          <w:woUserID w:val="1"/>
        </w:rPr>
        <w:t>县域统管主体计划投入资金约2亿元。</w:t>
      </w:r>
    </w:p>
    <w:bookmarkEnd w:id="0"/>
    <w:bookmarkEnd w:id="337"/>
    <w:p w14:paraId="08A6ACFF">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br w:type="page"/>
      </w:r>
    </w:p>
    <w:p w14:paraId="01D9E2DF">
      <w:pPr>
        <w:pStyle w:val="4"/>
        <w:keepNext/>
        <w:keepLines/>
        <w:pageBreakBefore w:val="0"/>
        <w:widowControl w:val="0"/>
        <w:numPr>
          <w:ilvl w:val="0"/>
          <w:numId w:val="0"/>
        </w:numPr>
        <w:kinsoku/>
        <w:wordWrap/>
        <w:overflowPunct/>
        <w:topLinePunct w:val="0"/>
        <w:autoSpaceDE/>
        <w:autoSpaceDN/>
        <w:bidi w:val="0"/>
        <w:adjustRightInd/>
        <w:snapToGrid/>
        <w:spacing w:line="560" w:lineRule="exact"/>
        <w:ind w:firstLine="0" w:firstLineChars="0"/>
        <w:textAlignment w:val="auto"/>
        <w:rPr>
          <w:rFonts w:hint="eastAsia" w:ascii="黑体" w:hAnsi="黑体" w:eastAsia="黑体" w:cs="黑体"/>
          <w:b w:val="0"/>
          <w:bCs/>
          <w:sz w:val="32"/>
          <w:szCs w:val="32"/>
          <w:highlight w:val="none"/>
        </w:rPr>
      </w:pPr>
      <w:bookmarkStart w:id="342" w:name="_Toc5425"/>
      <w:bookmarkStart w:id="343" w:name="_Toc30907"/>
      <w:r>
        <w:rPr>
          <w:rFonts w:hint="eastAsia" w:ascii="黑体" w:hAnsi="黑体" w:eastAsia="黑体" w:cs="黑体"/>
          <w:b w:val="0"/>
          <w:bCs/>
          <w:sz w:val="32"/>
          <w:szCs w:val="32"/>
          <w:highlight w:val="none"/>
        </w:rPr>
        <w:t>附表</w:t>
      </w:r>
      <w:bookmarkEnd w:id="342"/>
      <w:bookmarkEnd w:id="343"/>
    </w:p>
    <w:p w14:paraId="38111A11">
      <w:pPr>
        <w:pStyle w:val="2"/>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附表1.南昌县农村饮水安全薄弱环节整治提升三年行动方案-现状表</w:t>
      </w:r>
    </w:p>
    <w:p w14:paraId="0321CF07">
      <w:pPr>
        <w:pStyle w:val="2"/>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附表2.南昌县农村饮水安全薄弱环节整治提升三年行动方案</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问题清单</w:t>
      </w:r>
    </w:p>
    <w:p w14:paraId="430FF2A5">
      <w:pPr>
        <w:pStyle w:val="2"/>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附表3.南昌县农村饮水安全薄弱环节整治提升三年行动方案</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整改清单</w:t>
      </w:r>
    </w:p>
    <w:p w14:paraId="0397DAE6">
      <w:pPr>
        <w:pStyle w:val="2"/>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附表4.南昌县农村饮水安全薄弱环节整治提升三年行动方案</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任务清单</w:t>
      </w:r>
    </w:p>
    <w:p w14:paraId="10098A38">
      <w:pPr>
        <w:pStyle w:val="4"/>
        <w:keepNext/>
        <w:keepLines/>
        <w:pageBreakBefore w:val="0"/>
        <w:widowControl w:val="0"/>
        <w:numPr>
          <w:ilvl w:val="0"/>
          <w:numId w:val="0"/>
        </w:numPr>
        <w:kinsoku/>
        <w:wordWrap/>
        <w:overflowPunct/>
        <w:topLinePunct w:val="0"/>
        <w:autoSpaceDE/>
        <w:autoSpaceDN/>
        <w:bidi w:val="0"/>
        <w:adjustRightInd/>
        <w:snapToGrid/>
        <w:spacing w:line="560" w:lineRule="exact"/>
        <w:ind w:firstLine="0" w:firstLineChars="0"/>
        <w:textAlignment w:val="auto"/>
        <w:rPr>
          <w:rFonts w:hint="eastAsia" w:ascii="黑体" w:hAnsi="黑体" w:eastAsia="黑体" w:cs="黑体"/>
          <w:b w:val="0"/>
          <w:bCs/>
          <w:sz w:val="32"/>
          <w:szCs w:val="32"/>
          <w:highlight w:val="none"/>
        </w:rPr>
      </w:pPr>
      <w:bookmarkStart w:id="344" w:name="_Toc23924"/>
      <w:bookmarkStart w:id="345" w:name="_Toc6066"/>
      <w:r>
        <w:rPr>
          <w:rFonts w:hint="eastAsia" w:ascii="黑体" w:hAnsi="黑体" w:eastAsia="黑体" w:cs="黑体"/>
          <w:b w:val="0"/>
          <w:bCs/>
          <w:sz w:val="32"/>
          <w:szCs w:val="32"/>
          <w:highlight w:val="none"/>
        </w:rPr>
        <w:t>附图</w:t>
      </w:r>
      <w:bookmarkEnd w:id="344"/>
      <w:bookmarkEnd w:id="345"/>
    </w:p>
    <w:p w14:paraId="5B75EF21">
      <w:pPr>
        <w:pStyle w:val="2"/>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1.城乡供水一体化供水设施及管网现状分布图</w:t>
      </w:r>
    </w:p>
    <w:p w14:paraId="3AE8ED1E">
      <w:pPr>
        <w:pStyle w:val="2"/>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2.县域统管现状分区图</w:t>
      </w:r>
    </w:p>
    <w:p w14:paraId="47079A3B">
      <w:pPr>
        <w:pStyle w:val="2"/>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3.整改后城乡供水一体化供水设施及管网分布图</w:t>
      </w:r>
    </w:p>
    <w:p w14:paraId="09B4A141">
      <w:pPr>
        <w:pStyle w:val="2"/>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4.整改后县域统管分区图</w:t>
      </w:r>
    </w:p>
    <w:p w14:paraId="2CBE7208">
      <w:pPr>
        <w:pStyle w:val="2"/>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5.典型设计附图</w:t>
      </w:r>
    </w:p>
    <w:p w14:paraId="4A67C0FA">
      <w:pPr>
        <w:pStyle w:val="2"/>
        <w:rPr>
          <w:rFonts w:hint="eastAsia" w:ascii="仿宋_GB2312" w:hAnsi="仿宋_GB2312" w:eastAsia="仿宋_GB2312" w:cs="仿宋_GB2312"/>
          <w:sz w:val="32"/>
          <w:szCs w:val="32"/>
          <w:highlight w:val="none"/>
        </w:rPr>
      </w:pPr>
    </w:p>
    <w:sectPr>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8FB1AB9-DCDE-454E-8449-A07A1E068E2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7D0A5EA8-E5E2-4026-9182-3E9B6503FAE0}"/>
  </w:font>
  <w:font w:name="等线">
    <w:panose1 w:val="02010600030101010101"/>
    <w:charset w:val="86"/>
    <w:family w:val="auto"/>
    <w:pitch w:val="default"/>
    <w:sig w:usb0="A00002BF" w:usb1="38CF7CFA" w:usb2="00000016" w:usb3="00000000" w:csb0="0004000F" w:csb1="00000000"/>
    <w:embedRegular r:id="rId3" w:fontKey="{72AE8ACA-85D7-4EF3-822C-5D875CE7B681}"/>
  </w:font>
  <w:font w:name="仿宋">
    <w:panose1 w:val="02010609060101010101"/>
    <w:charset w:val="86"/>
    <w:family w:val="modern"/>
    <w:pitch w:val="default"/>
    <w:sig w:usb0="800002BF" w:usb1="38CF7CFA" w:usb2="00000016" w:usb3="00000000" w:csb0="00040001" w:csb1="00000000"/>
    <w:embedRegular r:id="rId4" w:fontKey="{B81D6773-CAF0-430B-898F-97F396BC14CF}"/>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embedRegular r:id="rId5" w:fontKey="{7AC63ECD-4018-4F13-AEA2-8FE4CA309343}"/>
  </w:font>
  <w:font w:name="方正小标宋简体">
    <w:panose1 w:val="03000509000000000000"/>
    <w:charset w:val="86"/>
    <w:family w:val="auto"/>
    <w:pitch w:val="default"/>
    <w:sig w:usb0="00000001" w:usb1="080E0000" w:usb2="00000000" w:usb3="00000000" w:csb0="00040000" w:csb1="00000000"/>
    <w:embedRegular r:id="rId6" w:fontKey="{E34F5685-A05A-41E3-A273-F66EC17A6972}"/>
  </w:font>
  <w:font w:name="楷体_GB2312">
    <w:panose1 w:val="02010609030101010101"/>
    <w:charset w:val="86"/>
    <w:family w:val="modern"/>
    <w:pitch w:val="default"/>
    <w:sig w:usb0="00000001" w:usb1="080E0000" w:usb2="00000000" w:usb3="00000000" w:csb0="00040000" w:csb1="00000000"/>
    <w:embedRegular r:id="rId7" w:fontKey="{728EE9E7-7688-4E61-BD23-544CE877CF58}"/>
  </w:font>
  <w:font w:name="微软雅黑">
    <w:panose1 w:val="020B0503020204020204"/>
    <w:charset w:val="86"/>
    <w:family w:val="swiss"/>
    <w:pitch w:val="default"/>
    <w:sig w:usb0="80000287" w:usb1="2ACF3C50" w:usb2="00000016" w:usb3="00000000" w:csb0="0004001F" w:csb1="00000000"/>
    <w:embedRegular r:id="rId8" w:fontKey="{367C5799-5CB8-4C2E-82F7-989BDEEEEAF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42891676"/>
    </w:sdtPr>
    <w:sdtContent>
      <w:p w14:paraId="1D8A4DB9">
        <w:pPr>
          <w:ind w:firstLine="480"/>
          <w:jc w:val="center"/>
          <w:rPr>
            <w:rFonts w:hint="eastAsia"/>
          </w:rPr>
        </w:pPr>
      </w:p>
    </w:sdtContent>
  </w:sdt>
  <w:p w14:paraId="5DD47843">
    <w:pPr>
      <w:ind w:firstLine="48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8C97A">
    <w:pPr>
      <w:ind w:firstLine="480"/>
      <w:jc w:val="center"/>
      <w:rPr>
        <w:rFonts w:hint="eastAsia"/>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DAA8E8">
                          <w:pPr>
                            <w:pStyle w:val="19"/>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9DAA8E8">
                    <w:pPr>
                      <w:pStyle w:val="19"/>
                    </w:pPr>
                    <w:r>
                      <w:fldChar w:fldCharType="begin"/>
                    </w:r>
                    <w:r>
                      <w:instrText xml:space="preserve"> PAGE  \* MERGEFORMAT </w:instrText>
                    </w:r>
                    <w:r>
                      <w:fldChar w:fldCharType="separate"/>
                    </w:r>
                    <w:r>
                      <w:t>I</w:t>
                    </w:r>
                    <w:r>
                      <w:fldChar w:fldCharType="end"/>
                    </w:r>
                  </w:p>
                </w:txbxContent>
              </v:textbox>
            </v:shape>
          </w:pict>
        </mc:Fallback>
      </mc:AlternateContent>
    </w:r>
  </w:p>
  <w:p w14:paraId="08748108">
    <w:pPr>
      <w:ind w:firstLine="48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328B0">
    <w:pPr>
      <w:pStyle w:val="20"/>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CE4353"/>
    <w:multiLevelType w:val="multilevel"/>
    <w:tmpl w:val="18CE4353"/>
    <w:lvl w:ilvl="0" w:tentative="0">
      <w:start w:val="1"/>
      <w:numFmt w:val="decimal"/>
      <w:isLgl/>
      <w:lvlText w:val="第%1章"/>
      <w:lvlJc w:val="left"/>
      <w:pPr>
        <w:ind w:left="440" w:hanging="440"/>
      </w:pPr>
      <w:rPr>
        <w:rFonts w:hint="eastAsia"/>
      </w:rPr>
    </w:lvl>
    <w:lvl w:ilvl="1" w:tentative="0">
      <w:start w:val="1"/>
      <w:numFmt w:val="decimal"/>
      <w:lvlText w:val="%1.%2"/>
      <w:lvlJc w:val="left"/>
      <w:pPr>
        <w:ind w:left="880" w:hanging="440"/>
      </w:pPr>
      <w:rPr>
        <w:rFonts w:hint="eastAsia"/>
      </w:rPr>
    </w:lvl>
    <w:lvl w:ilvl="2" w:tentative="0">
      <w:start w:val="1"/>
      <w:numFmt w:val="decimal"/>
      <w:lvlText w:val="(%3)"/>
      <w:lvlJc w:val="left"/>
      <w:pPr>
        <w:ind w:left="1320" w:hanging="440"/>
      </w:pPr>
    </w:lvl>
    <w:lvl w:ilvl="3" w:tentative="0">
      <w:start w:val="1"/>
      <w:numFmt w:val="decimal"/>
      <w:lvlText w:val="%1.%2.%3.%4"/>
      <w:lvlJc w:val="left"/>
      <w:pPr>
        <w:ind w:left="1760" w:hanging="440"/>
      </w:pPr>
      <w:rPr>
        <w:rFonts w:hint="eastAsia"/>
      </w:rPr>
    </w:lvl>
    <w:lvl w:ilvl="4" w:tentative="0">
      <w:start w:val="1"/>
      <w:numFmt w:val="lowerLetter"/>
      <w:lvlText w:val="%5)"/>
      <w:lvlJc w:val="left"/>
      <w:pPr>
        <w:ind w:left="2200" w:hanging="440"/>
      </w:pPr>
      <w:rPr>
        <w:rFonts w:hint="eastAsia"/>
      </w:rPr>
    </w:lvl>
    <w:lvl w:ilvl="5" w:tentative="0">
      <w:start w:val="1"/>
      <w:numFmt w:val="lowerRoman"/>
      <w:lvlText w:val="%6."/>
      <w:lvlJc w:val="right"/>
      <w:pPr>
        <w:ind w:left="2640" w:hanging="440"/>
      </w:pPr>
      <w:rPr>
        <w:rFonts w:hint="eastAsia"/>
      </w:rPr>
    </w:lvl>
    <w:lvl w:ilvl="6" w:tentative="0">
      <w:start w:val="1"/>
      <w:numFmt w:val="decimal"/>
      <w:lvlText w:val="%7."/>
      <w:lvlJc w:val="left"/>
      <w:pPr>
        <w:ind w:left="3080" w:hanging="440"/>
      </w:pPr>
      <w:rPr>
        <w:rFonts w:hint="eastAsia"/>
      </w:rPr>
    </w:lvl>
    <w:lvl w:ilvl="7" w:tentative="0">
      <w:start w:val="1"/>
      <w:numFmt w:val="lowerLetter"/>
      <w:lvlText w:val="%8)"/>
      <w:lvlJc w:val="left"/>
      <w:pPr>
        <w:ind w:left="3520" w:hanging="440"/>
      </w:pPr>
      <w:rPr>
        <w:rFonts w:hint="eastAsia"/>
      </w:rPr>
    </w:lvl>
    <w:lvl w:ilvl="8" w:tentative="0">
      <w:start w:val="1"/>
      <w:numFmt w:val="lowerRoman"/>
      <w:lvlText w:val="%9."/>
      <w:lvlJc w:val="right"/>
      <w:pPr>
        <w:ind w:left="3960" w:hanging="440"/>
      </w:pPr>
      <w:rPr>
        <w:rFonts w:hint="eastAsia"/>
      </w:rPr>
    </w:lvl>
  </w:abstractNum>
  <w:abstractNum w:abstractNumId="1">
    <w:nsid w:val="668E2F58"/>
    <w:multiLevelType w:val="multilevel"/>
    <w:tmpl w:val="668E2F58"/>
    <w:lvl w:ilvl="0" w:tentative="0">
      <w:start w:val="1"/>
      <w:numFmt w:val="decimal"/>
      <w:isLgl/>
      <w:lvlText w:val="第%1章"/>
      <w:lvlJc w:val="left"/>
      <w:pPr>
        <w:ind w:left="440" w:hanging="440"/>
      </w:pPr>
      <w:rPr>
        <w:rFonts w:hint="eastAsia"/>
      </w:rPr>
    </w:lvl>
    <w:lvl w:ilvl="1" w:tentative="0">
      <w:start w:val="1"/>
      <w:numFmt w:val="decimal"/>
      <w:lvlText w:val="%1.%2"/>
      <w:lvlJc w:val="left"/>
      <w:pPr>
        <w:ind w:left="880" w:hanging="440"/>
      </w:pPr>
      <w:rPr>
        <w:rFonts w:hint="eastAsia"/>
      </w:rPr>
    </w:lvl>
    <w:lvl w:ilvl="2" w:tentative="0">
      <w:start w:val="1"/>
      <w:numFmt w:val="decimal"/>
      <w:lvlText w:val="%3)"/>
      <w:lvlJc w:val="left"/>
      <w:pPr>
        <w:ind w:left="1320" w:hanging="440"/>
      </w:pPr>
    </w:lvl>
    <w:lvl w:ilvl="3" w:tentative="0">
      <w:start w:val="1"/>
      <w:numFmt w:val="decimal"/>
      <w:lvlText w:val="%1.%2.%3.%4"/>
      <w:lvlJc w:val="left"/>
      <w:pPr>
        <w:ind w:left="1760" w:hanging="440"/>
      </w:pPr>
      <w:rPr>
        <w:rFonts w:hint="eastAsia"/>
      </w:rPr>
    </w:lvl>
    <w:lvl w:ilvl="4" w:tentative="0">
      <w:start w:val="1"/>
      <w:numFmt w:val="lowerLetter"/>
      <w:lvlText w:val="%5)"/>
      <w:lvlJc w:val="left"/>
      <w:pPr>
        <w:ind w:left="2200" w:hanging="440"/>
      </w:pPr>
      <w:rPr>
        <w:rFonts w:hint="eastAsia"/>
      </w:rPr>
    </w:lvl>
    <w:lvl w:ilvl="5" w:tentative="0">
      <w:start w:val="1"/>
      <w:numFmt w:val="lowerRoman"/>
      <w:lvlText w:val="%6."/>
      <w:lvlJc w:val="right"/>
      <w:pPr>
        <w:ind w:left="2640" w:hanging="440"/>
      </w:pPr>
      <w:rPr>
        <w:rFonts w:hint="eastAsia"/>
      </w:rPr>
    </w:lvl>
    <w:lvl w:ilvl="6" w:tentative="0">
      <w:start w:val="1"/>
      <w:numFmt w:val="decimal"/>
      <w:lvlText w:val="%7."/>
      <w:lvlJc w:val="left"/>
      <w:pPr>
        <w:ind w:left="3080" w:hanging="440"/>
      </w:pPr>
      <w:rPr>
        <w:rFonts w:hint="eastAsia"/>
      </w:rPr>
    </w:lvl>
    <w:lvl w:ilvl="7" w:tentative="0">
      <w:start w:val="1"/>
      <w:numFmt w:val="lowerLetter"/>
      <w:lvlText w:val="%8)"/>
      <w:lvlJc w:val="left"/>
      <w:pPr>
        <w:ind w:left="3520" w:hanging="440"/>
      </w:pPr>
      <w:rPr>
        <w:rFonts w:hint="eastAsia"/>
      </w:rPr>
    </w:lvl>
    <w:lvl w:ilvl="8" w:tentative="0">
      <w:start w:val="1"/>
      <w:numFmt w:val="lowerRoman"/>
      <w:lvlText w:val="%9."/>
      <w:lvlJc w:val="right"/>
      <w:pPr>
        <w:ind w:left="3960" w:hanging="440"/>
      </w:pPr>
      <w:rPr>
        <w:rFonts w:hint="eastAsia"/>
      </w:rPr>
    </w:lvl>
  </w:abstractNum>
  <w:abstractNum w:abstractNumId="2">
    <w:nsid w:val="70011792"/>
    <w:multiLevelType w:val="multilevel"/>
    <w:tmpl w:val="70011792"/>
    <w:lvl w:ilvl="0" w:tentative="0">
      <w:start w:val="1"/>
      <w:numFmt w:val="decimal"/>
      <w:pStyle w:val="51"/>
      <w:isLgl/>
      <w:lvlText w:val="第%1章"/>
      <w:lvlJc w:val="left"/>
      <w:pPr>
        <w:ind w:left="0" w:firstLine="0"/>
      </w:pPr>
      <w:rPr>
        <w:rFonts w:hint="eastAsia"/>
      </w:rPr>
    </w:lvl>
    <w:lvl w:ilvl="1" w:tentative="0">
      <w:start w:val="1"/>
      <w:numFmt w:val="decimal"/>
      <w:pStyle w:val="52"/>
      <w:lvlText w:val="%1.%2"/>
      <w:lvlJc w:val="left"/>
      <w:pPr>
        <w:ind w:left="0" w:firstLine="0"/>
      </w:pPr>
      <w:rPr>
        <w:rFonts w:hint="eastAsia"/>
      </w:rPr>
    </w:lvl>
    <w:lvl w:ilvl="2" w:tentative="0">
      <w:start w:val="1"/>
      <w:numFmt w:val="decimal"/>
      <w:pStyle w:val="6"/>
      <w:suff w:val="space"/>
      <w:lvlText w:val="%1.%2.%3"/>
      <w:lvlJc w:val="right"/>
      <w:pPr>
        <w:ind w:left="0" w:firstLine="0"/>
      </w:pPr>
      <w:rPr>
        <w:rFonts w:hint="eastAsia" w:ascii="仿宋" w:hAnsi="仿宋" w:eastAsia="仿宋"/>
      </w:rPr>
    </w:lvl>
    <w:lvl w:ilvl="3" w:tentative="0">
      <w:start w:val="1"/>
      <w:numFmt w:val="decimal"/>
      <w:pStyle w:val="7"/>
      <w:lvlText w:val="%1.%2.%3.%4"/>
      <w:lvlJc w:val="left"/>
      <w:pPr>
        <w:ind w:left="0" w:firstLine="0"/>
      </w:pPr>
      <w:rPr>
        <w:rFonts w:hint="eastAsia"/>
      </w:rPr>
    </w:lvl>
    <w:lvl w:ilvl="4" w:tentative="0">
      <w:start w:val="1"/>
      <w:numFmt w:val="lowerLetter"/>
      <w:lvlText w:val="%5)"/>
      <w:lvlJc w:val="left"/>
      <w:pPr>
        <w:ind w:left="0" w:firstLine="0"/>
      </w:pPr>
      <w:rPr>
        <w:rFonts w:hint="eastAsia"/>
      </w:rPr>
    </w:lvl>
    <w:lvl w:ilvl="5" w:tentative="0">
      <w:start w:val="1"/>
      <w:numFmt w:val="lowerRoman"/>
      <w:lvlText w:val="%6."/>
      <w:lvlJc w:val="right"/>
      <w:pPr>
        <w:ind w:left="0" w:firstLine="0"/>
      </w:pPr>
      <w:rPr>
        <w:rFonts w:hint="eastAsia"/>
      </w:rPr>
    </w:lvl>
    <w:lvl w:ilvl="6" w:tentative="0">
      <w:start w:val="1"/>
      <w:numFmt w:val="decimal"/>
      <w:lvlText w:val="%7."/>
      <w:lvlJc w:val="left"/>
      <w:pPr>
        <w:ind w:left="0" w:firstLine="0"/>
      </w:pPr>
      <w:rPr>
        <w:rFonts w:hint="eastAsia"/>
      </w:rPr>
    </w:lvl>
    <w:lvl w:ilvl="7" w:tentative="0">
      <w:start w:val="1"/>
      <w:numFmt w:val="lowerLetter"/>
      <w:lvlText w:val="%8)"/>
      <w:lvlJc w:val="left"/>
      <w:pPr>
        <w:ind w:left="0" w:firstLine="0"/>
      </w:pPr>
      <w:rPr>
        <w:rFonts w:hint="eastAsia"/>
      </w:rPr>
    </w:lvl>
    <w:lvl w:ilvl="8" w:tentative="0">
      <w:start w:val="1"/>
      <w:numFmt w:val="lowerRoman"/>
      <w:lvlText w:val="%9."/>
      <w:lvlJc w:val="right"/>
      <w:pPr>
        <w:ind w:left="0" w:firstLine="0"/>
      </w:pPr>
      <w:rPr>
        <w:rFonts w:hint="eastAsia"/>
      </w:rPr>
    </w:lvl>
  </w:abstractNum>
  <w:abstractNum w:abstractNumId="3">
    <w:nsid w:val="73985831"/>
    <w:multiLevelType w:val="multilevel"/>
    <w:tmpl w:val="73985831"/>
    <w:lvl w:ilvl="0" w:tentative="0">
      <w:start w:val="1"/>
      <w:numFmt w:val="decimal"/>
      <w:isLgl/>
      <w:lvlText w:val="第%1章"/>
      <w:lvlJc w:val="left"/>
      <w:pPr>
        <w:ind w:left="440" w:hanging="440"/>
      </w:pPr>
      <w:rPr>
        <w:rFonts w:hint="eastAsia"/>
      </w:rPr>
    </w:lvl>
    <w:lvl w:ilvl="1" w:tentative="0">
      <w:start w:val="1"/>
      <w:numFmt w:val="decimal"/>
      <w:lvlText w:val="%1.%2"/>
      <w:lvlJc w:val="left"/>
      <w:pPr>
        <w:ind w:left="880" w:hanging="440"/>
      </w:pPr>
      <w:rPr>
        <w:rFonts w:hint="eastAsia"/>
      </w:rPr>
    </w:lvl>
    <w:lvl w:ilvl="2" w:tentative="0">
      <w:start w:val="1"/>
      <w:numFmt w:val="decimal"/>
      <w:lvlText w:val="%3)"/>
      <w:lvlJc w:val="left"/>
      <w:pPr>
        <w:ind w:left="1320" w:hanging="440"/>
      </w:pPr>
    </w:lvl>
    <w:lvl w:ilvl="3" w:tentative="0">
      <w:start w:val="1"/>
      <w:numFmt w:val="decimal"/>
      <w:lvlText w:val="%1.%2.%3.%4"/>
      <w:lvlJc w:val="left"/>
      <w:pPr>
        <w:ind w:left="1760" w:hanging="440"/>
      </w:pPr>
      <w:rPr>
        <w:rFonts w:hint="eastAsia"/>
      </w:rPr>
    </w:lvl>
    <w:lvl w:ilvl="4" w:tentative="0">
      <w:start w:val="1"/>
      <w:numFmt w:val="lowerLetter"/>
      <w:lvlText w:val="%5)"/>
      <w:lvlJc w:val="left"/>
      <w:pPr>
        <w:ind w:left="2200" w:hanging="440"/>
      </w:pPr>
      <w:rPr>
        <w:rFonts w:hint="eastAsia"/>
      </w:rPr>
    </w:lvl>
    <w:lvl w:ilvl="5" w:tentative="0">
      <w:start w:val="1"/>
      <w:numFmt w:val="lowerRoman"/>
      <w:lvlText w:val="%6."/>
      <w:lvlJc w:val="right"/>
      <w:pPr>
        <w:ind w:left="2640" w:hanging="440"/>
      </w:pPr>
      <w:rPr>
        <w:rFonts w:hint="eastAsia"/>
      </w:rPr>
    </w:lvl>
    <w:lvl w:ilvl="6" w:tentative="0">
      <w:start w:val="1"/>
      <w:numFmt w:val="decimal"/>
      <w:lvlText w:val="%7."/>
      <w:lvlJc w:val="left"/>
      <w:pPr>
        <w:ind w:left="3080" w:hanging="440"/>
      </w:pPr>
      <w:rPr>
        <w:rFonts w:hint="eastAsia"/>
      </w:rPr>
    </w:lvl>
    <w:lvl w:ilvl="7" w:tentative="0">
      <w:start w:val="1"/>
      <w:numFmt w:val="lowerLetter"/>
      <w:lvlText w:val="%8)"/>
      <w:lvlJc w:val="left"/>
      <w:pPr>
        <w:ind w:left="3520" w:hanging="440"/>
      </w:pPr>
      <w:rPr>
        <w:rFonts w:hint="eastAsia"/>
      </w:rPr>
    </w:lvl>
    <w:lvl w:ilvl="8" w:tentative="0">
      <w:start w:val="1"/>
      <w:numFmt w:val="lowerRoman"/>
      <w:lvlText w:val="%9."/>
      <w:lvlJc w:val="right"/>
      <w:pPr>
        <w:ind w:left="3960" w:hanging="440"/>
      </w:pPr>
      <w:rPr>
        <w:rFonts w:hint="eastAsia"/>
      </w:rPr>
    </w:lvl>
  </w:abstractNum>
  <w:abstractNum w:abstractNumId="4">
    <w:nsid w:val="7E9D1979"/>
    <w:multiLevelType w:val="multilevel"/>
    <w:tmpl w:val="7E9D1979"/>
    <w:lvl w:ilvl="0" w:tentative="0">
      <w:start w:val="1"/>
      <w:numFmt w:val="decimal"/>
      <w:isLgl/>
      <w:lvlText w:val="第%1章"/>
      <w:lvlJc w:val="left"/>
      <w:pPr>
        <w:ind w:left="440" w:hanging="440"/>
      </w:pPr>
      <w:rPr>
        <w:rFonts w:hint="eastAsia"/>
      </w:rPr>
    </w:lvl>
    <w:lvl w:ilvl="1" w:tentative="0">
      <w:start w:val="1"/>
      <w:numFmt w:val="decimal"/>
      <w:lvlText w:val="%1.%2"/>
      <w:lvlJc w:val="left"/>
      <w:pPr>
        <w:ind w:left="880" w:hanging="440"/>
      </w:pPr>
      <w:rPr>
        <w:rFonts w:hint="eastAsia"/>
      </w:rPr>
    </w:lvl>
    <w:lvl w:ilvl="2" w:tentative="0">
      <w:start w:val="1"/>
      <w:numFmt w:val="decimal"/>
      <w:lvlText w:val="%3)"/>
      <w:lvlJc w:val="left"/>
      <w:pPr>
        <w:ind w:left="1320" w:hanging="440"/>
      </w:pPr>
    </w:lvl>
    <w:lvl w:ilvl="3" w:tentative="0">
      <w:start w:val="1"/>
      <w:numFmt w:val="decimal"/>
      <w:lvlText w:val="%1.%2.%3.%4"/>
      <w:lvlJc w:val="left"/>
      <w:pPr>
        <w:ind w:left="1760" w:hanging="440"/>
      </w:pPr>
      <w:rPr>
        <w:rFonts w:hint="eastAsia"/>
      </w:rPr>
    </w:lvl>
    <w:lvl w:ilvl="4" w:tentative="0">
      <w:start w:val="1"/>
      <w:numFmt w:val="lowerLetter"/>
      <w:lvlText w:val="%5)"/>
      <w:lvlJc w:val="left"/>
      <w:pPr>
        <w:ind w:left="2200" w:hanging="440"/>
      </w:pPr>
      <w:rPr>
        <w:rFonts w:hint="eastAsia"/>
      </w:rPr>
    </w:lvl>
    <w:lvl w:ilvl="5" w:tentative="0">
      <w:start w:val="1"/>
      <w:numFmt w:val="lowerRoman"/>
      <w:lvlText w:val="%6."/>
      <w:lvlJc w:val="right"/>
      <w:pPr>
        <w:ind w:left="2640" w:hanging="440"/>
      </w:pPr>
      <w:rPr>
        <w:rFonts w:hint="eastAsia"/>
      </w:rPr>
    </w:lvl>
    <w:lvl w:ilvl="6" w:tentative="0">
      <w:start w:val="1"/>
      <w:numFmt w:val="decimal"/>
      <w:lvlText w:val="%7."/>
      <w:lvlJc w:val="left"/>
      <w:pPr>
        <w:ind w:left="3080" w:hanging="440"/>
      </w:pPr>
      <w:rPr>
        <w:rFonts w:hint="eastAsia"/>
      </w:rPr>
    </w:lvl>
    <w:lvl w:ilvl="7" w:tentative="0">
      <w:start w:val="1"/>
      <w:numFmt w:val="lowerLetter"/>
      <w:lvlText w:val="%8)"/>
      <w:lvlJc w:val="left"/>
      <w:pPr>
        <w:ind w:left="3520" w:hanging="440"/>
      </w:pPr>
      <w:rPr>
        <w:rFonts w:hint="eastAsia"/>
      </w:rPr>
    </w:lvl>
    <w:lvl w:ilvl="8" w:tentative="0">
      <w:start w:val="1"/>
      <w:numFmt w:val="lowerRoman"/>
      <w:lvlText w:val="%9."/>
      <w:lvlJc w:val="right"/>
      <w:pPr>
        <w:ind w:left="3960" w:hanging="440"/>
      </w:pPr>
      <w:rPr>
        <w:rFonts w:hint="eastAsia"/>
      </w:rPr>
    </w:lvl>
  </w:abstractNum>
  <w:num w:numId="1">
    <w:abstractNumId w:val="2"/>
  </w:num>
  <w:num w:numId="2">
    <w:abstractNumId w:val="0"/>
  </w:num>
  <w:num w:numId="3">
    <w:abstractNumId w:val="1"/>
  </w:num>
  <w:num w:numId="4">
    <w:abstractNumId w:val="3"/>
  </w:num>
  <w:num w:numId="5">
    <w:abstractNumId w:val="4"/>
  </w:num>
  <w:num w:numId="6">
    <w:abstractNumId w:val="2"/>
    <w:lvlOverride w:ilvl="0">
      <w:lvl w:ilvl="0" w:tentative="1">
        <w:start w:val="1"/>
        <w:numFmt w:val="decimal"/>
        <w:isLgl/>
        <w:lvlText w:val="第%1章"/>
        <w:lvlJc w:val="left"/>
        <w:pPr>
          <w:ind w:left="0" w:firstLine="0"/>
        </w:pPr>
        <w:rPr>
          <w:rFonts w:hint="eastAsia"/>
        </w:rPr>
      </w:lvl>
    </w:lvlOverride>
    <w:lvlOverride w:ilvl="1">
      <w:lvl w:ilvl="1" w:tentative="1">
        <w:start w:val="1"/>
        <w:numFmt w:val="decimal"/>
        <w:lvlText w:val="%1.%2"/>
        <w:lvlJc w:val="left"/>
        <w:pPr>
          <w:ind w:left="0" w:firstLine="0"/>
        </w:pPr>
        <w:rPr>
          <w:rFonts w:hint="eastAsia"/>
        </w:rPr>
      </w:lvl>
    </w:lvlOverride>
    <w:lvlOverride w:ilvl="2">
      <w:lvl w:ilvl="2" w:tentative="1">
        <w:start w:val="1"/>
        <w:numFmt w:val="decimal"/>
        <w:suff w:val="space"/>
        <w:lvlText w:val="%1.%2.%3"/>
        <w:lvlJc w:val="right"/>
        <w:pPr>
          <w:ind w:left="0" w:firstLine="0"/>
        </w:pPr>
        <w:rPr>
          <w:rFonts w:hint="eastAsia" w:ascii="仿宋" w:hAnsi="仿宋" w:eastAsia="仿宋"/>
        </w:rPr>
      </w:lvl>
    </w:lvlOverride>
    <w:lvlOverride w:ilvl="3">
      <w:lvl w:ilvl="3" w:tentative="1">
        <w:start w:val="1"/>
        <w:numFmt w:val="decimal"/>
        <w:lvlText w:val="%1.%2.%3.%4"/>
        <w:lvlJc w:val="left"/>
        <w:pPr>
          <w:ind w:left="0" w:firstLine="624"/>
        </w:pPr>
        <w:rPr>
          <w:rFonts w:hint="eastAsia"/>
        </w:rPr>
      </w:lvl>
    </w:lvlOverride>
    <w:lvlOverride w:ilvl="4">
      <w:lvl w:ilvl="4" w:tentative="1">
        <w:start w:val="1"/>
        <w:numFmt w:val="lowerLetter"/>
        <w:lvlText w:val="%5)"/>
        <w:lvlJc w:val="left"/>
        <w:pPr>
          <w:ind w:left="0" w:firstLine="0"/>
        </w:pPr>
        <w:rPr>
          <w:rFonts w:hint="eastAsia"/>
        </w:rPr>
      </w:lvl>
    </w:lvlOverride>
    <w:lvlOverride w:ilvl="5">
      <w:lvl w:ilvl="5" w:tentative="1">
        <w:start w:val="1"/>
        <w:numFmt w:val="lowerRoman"/>
        <w:lvlText w:val="%6."/>
        <w:lvlJc w:val="right"/>
        <w:pPr>
          <w:ind w:left="0" w:firstLine="0"/>
        </w:pPr>
        <w:rPr>
          <w:rFonts w:hint="eastAsia"/>
        </w:rPr>
      </w:lvl>
    </w:lvlOverride>
    <w:lvlOverride w:ilvl="6">
      <w:lvl w:ilvl="6" w:tentative="1">
        <w:start w:val="1"/>
        <w:numFmt w:val="decimal"/>
        <w:lvlText w:val="%7."/>
        <w:lvlJc w:val="left"/>
        <w:pPr>
          <w:ind w:left="0" w:firstLine="0"/>
        </w:pPr>
        <w:rPr>
          <w:rFonts w:hint="eastAsia"/>
        </w:rPr>
      </w:lvl>
    </w:lvlOverride>
    <w:lvlOverride w:ilvl="7">
      <w:lvl w:ilvl="7" w:tentative="1">
        <w:start w:val="1"/>
        <w:numFmt w:val="lowerLetter"/>
        <w:lvlText w:val="%8)"/>
        <w:lvlJc w:val="left"/>
        <w:pPr>
          <w:ind w:left="0" w:firstLine="0"/>
        </w:pPr>
        <w:rPr>
          <w:rFonts w:hint="eastAsia"/>
        </w:rPr>
      </w:lvl>
    </w:lvlOverride>
    <w:lvlOverride w:ilvl="8">
      <w:lvl w:ilvl="8" w:tentative="1">
        <w:start w:val="1"/>
        <w:numFmt w:val="lowerRoman"/>
        <w:lvlText w:val="%9."/>
        <w:lvlJc w:val="right"/>
        <w:pPr>
          <w:ind w:left="0" w:firstLine="0"/>
        </w:pPr>
        <w:rPr>
          <w:rFonts w:hint="eastAsia"/>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C95"/>
    <w:rsid w:val="00002666"/>
    <w:rsid w:val="00002AE2"/>
    <w:rsid w:val="00003E15"/>
    <w:rsid w:val="00006B95"/>
    <w:rsid w:val="00007D33"/>
    <w:rsid w:val="00010B8A"/>
    <w:rsid w:val="00016DB7"/>
    <w:rsid w:val="0002027C"/>
    <w:rsid w:val="00020626"/>
    <w:rsid w:val="000220F0"/>
    <w:rsid w:val="00023A8A"/>
    <w:rsid w:val="000244E6"/>
    <w:rsid w:val="00024DD1"/>
    <w:rsid w:val="00025C6A"/>
    <w:rsid w:val="00031388"/>
    <w:rsid w:val="00031B59"/>
    <w:rsid w:val="000369F7"/>
    <w:rsid w:val="000458AC"/>
    <w:rsid w:val="00045D7A"/>
    <w:rsid w:val="00046879"/>
    <w:rsid w:val="00050A74"/>
    <w:rsid w:val="00051891"/>
    <w:rsid w:val="00051C68"/>
    <w:rsid w:val="00051D0C"/>
    <w:rsid w:val="000552AF"/>
    <w:rsid w:val="00056028"/>
    <w:rsid w:val="000567F3"/>
    <w:rsid w:val="00056820"/>
    <w:rsid w:val="00062B17"/>
    <w:rsid w:val="0006397B"/>
    <w:rsid w:val="00063DA3"/>
    <w:rsid w:val="00066ADB"/>
    <w:rsid w:val="00071E2C"/>
    <w:rsid w:val="00073DEB"/>
    <w:rsid w:val="00076870"/>
    <w:rsid w:val="00076EE6"/>
    <w:rsid w:val="00080B52"/>
    <w:rsid w:val="00084369"/>
    <w:rsid w:val="00084391"/>
    <w:rsid w:val="00084E63"/>
    <w:rsid w:val="00086954"/>
    <w:rsid w:val="00090E7D"/>
    <w:rsid w:val="000919CC"/>
    <w:rsid w:val="00091B7D"/>
    <w:rsid w:val="000A01AE"/>
    <w:rsid w:val="000A070A"/>
    <w:rsid w:val="000A1490"/>
    <w:rsid w:val="000A2181"/>
    <w:rsid w:val="000A2735"/>
    <w:rsid w:val="000A315F"/>
    <w:rsid w:val="000A36FD"/>
    <w:rsid w:val="000A3DD3"/>
    <w:rsid w:val="000A56D6"/>
    <w:rsid w:val="000A586D"/>
    <w:rsid w:val="000A6A2C"/>
    <w:rsid w:val="000B01F7"/>
    <w:rsid w:val="000B0972"/>
    <w:rsid w:val="000B3B1B"/>
    <w:rsid w:val="000B4E30"/>
    <w:rsid w:val="000B5F71"/>
    <w:rsid w:val="000C1153"/>
    <w:rsid w:val="000C2E62"/>
    <w:rsid w:val="000C369E"/>
    <w:rsid w:val="000C580F"/>
    <w:rsid w:val="000C5AF1"/>
    <w:rsid w:val="000D1A6F"/>
    <w:rsid w:val="000D41F4"/>
    <w:rsid w:val="000E4D14"/>
    <w:rsid w:val="000E6431"/>
    <w:rsid w:val="000E76C4"/>
    <w:rsid w:val="000F08B0"/>
    <w:rsid w:val="000F4DB2"/>
    <w:rsid w:val="000F5645"/>
    <w:rsid w:val="00100320"/>
    <w:rsid w:val="0010689E"/>
    <w:rsid w:val="00106F0D"/>
    <w:rsid w:val="00110339"/>
    <w:rsid w:val="001109E9"/>
    <w:rsid w:val="00110A21"/>
    <w:rsid w:val="001172A5"/>
    <w:rsid w:val="001228BA"/>
    <w:rsid w:val="0012565E"/>
    <w:rsid w:val="00127531"/>
    <w:rsid w:val="00136BF6"/>
    <w:rsid w:val="0014059D"/>
    <w:rsid w:val="00140AB0"/>
    <w:rsid w:val="00140FFA"/>
    <w:rsid w:val="001415C7"/>
    <w:rsid w:val="001433ED"/>
    <w:rsid w:val="00144202"/>
    <w:rsid w:val="001447B8"/>
    <w:rsid w:val="00145172"/>
    <w:rsid w:val="00145BFA"/>
    <w:rsid w:val="00150876"/>
    <w:rsid w:val="0015284C"/>
    <w:rsid w:val="00152947"/>
    <w:rsid w:val="00152A26"/>
    <w:rsid w:val="00155142"/>
    <w:rsid w:val="001617EC"/>
    <w:rsid w:val="0016267F"/>
    <w:rsid w:val="00166718"/>
    <w:rsid w:val="00167C93"/>
    <w:rsid w:val="00170291"/>
    <w:rsid w:val="00170A10"/>
    <w:rsid w:val="00174581"/>
    <w:rsid w:val="00181679"/>
    <w:rsid w:val="00184624"/>
    <w:rsid w:val="001865C9"/>
    <w:rsid w:val="0019118A"/>
    <w:rsid w:val="00191EE7"/>
    <w:rsid w:val="0019426E"/>
    <w:rsid w:val="00194D41"/>
    <w:rsid w:val="00196D55"/>
    <w:rsid w:val="001A1067"/>
    <w:rsid w:val="001A3376"/>
    <w:rsid w:val="001A702B"/>
    <w:rsid w:val="001B21A4"/>
    <w:rsid w:val="001B395F"/>
    <w:rsid w:val="001B43B3"/>
    <w:rsid w:val="001B55B3"/>
    <w:rsid w:val="001B5E64"/>
    <w:rsid w:val="001B6E65"/>
    <w:rsid w:val="001B7B1E"/>
    <w:rsid w:val="001C1EBD"/>
    <w:rsid w:val="001C3DCC"/>
    <w:rsid w:val="001C3EE6"/>
    <w:rsid w:val="001C6231"/>
    <w:rsid w:val="001D1D55"/>
    <w:rsid w:val="001D42EC"/>
    <w:rsid w:val="001D5946"/>
    <w:rsid w:val="001D5DA7"/>
    <w:rsid w:val="001D60A4"/>
    <w:rsid w:val="001D60C2"/>
    <w:rsid w:val="001D6608"/>
    <w:rsid w:val="001E5E47"/>
    <w:rsid w:val="001E664E"/>
    <w:rsid w:val="001E699A"/>
    <w:rsid w:val="001F38B0"/>
    <w:rsid w:val="001F455B"/>
    <w:rsid w:val="001F55B9"/>
    <w:rsid w:val="001F7DEA"/>
    <w:rsid w:val="001F7EB9"/>
    <w:rsid w:val="00201580"/>
    <w:rsid w:val="00201803"/>
    <w:rsid w:val="0020258A"/>
    <w:rsid w:val="002045FE"/>
    <w:rsid w:val="00210EC3"/>
    <w:rsid w:val="00211B9D"/>
    <w:rsid w:val="002145AC"/>
    <w:rsid w:val="00216F50"/>
    <w:rsid w:val="002229C4"/>
    <w:rsid w:val="002236BC"/>
    <w:rsid w:val="00224248"/>
    <w:rsid w:val="00225129"/>
    <w:rsid w:val="0022599C"/>
    <w:rsid w:val="0023080F"/>
    <w:rsid w:val="00230BA8"/>
    <w:rsid w:val="00233A15"/>
    <w:rsid w:val="002359E6"/>
    <w:rsid w:val="00236615"/>
    <w:rsid w:val="00242C18"/>
    <w:rsid w:val="00243D99"/>
    <w:rsid w:val="002511EC"/>
    <w:rsid w:val="00251FED"/>
    <w:rsid w:val="00252BD6"/>
    <w:rsid w:val="002534A2"/>
    <w:rsid w:val="0025371E"/>
    <w:rsid w:val="00254487"/>
    <w:rsid w:val="002548C6"/>
    <w:rsid w:val="002575EB"/>
    <w:rsid w:val="00260073"/>
    <w:rsid w:val="00261252"/>
    <w:rsid w:val="002636D7"/>
    <w:rsid w:val="00263BC4"/>
    <w:rsid w:val="00264D09"/>
    <w:rsid w:val="00266717"/>
    <w:rsid w:val="00266C54"/>
    <w:rsid w:val="002704D0"/>
    <w:rsid w:val="002718C5"/>
    <w:rsid w:val="00273B4A"/>
    <w:rsid w:val="00273C21"/>
    <w:rsid w:val="0027526D"/>
    <w:rsid w:val="00275812"/>
    <w:rsid w:val="0027728B"/>
    <w:rsid w:val="00281204"/>
    <w:rsid w:val="00284861"/>
    <w:rsid w:val="00284EBC"/>
    <w:rsid w:val="002851CE"/>
    <w:rsid w:val="00287562"/>
    <w:rsid w:val="0029214A"/>
    <w:rsid w:val="00293ADA"/>
    <w:rsid w:val="002946BA"/>
    <w:rsid w:val="00296B67"/>
    <w:rsid w:val="002A1CB4"/>
    <w:rsid w:val="002A3642"/>
    <w:rsid w:val="002A5474"/>
    <w:rsid w:val="002A772A"/>
    <w:rsid w:val="002B115A"/>
    <w:rsid w:val="002B1245"/>
    <w:rsid w:val="002B526C"/>
    <w:rsid w:val="002C07AF"/>
    <w:rsid w:val="002C31B6"/>
    <w:rsid w:val="002C501F"/>
    <w:rsid w:val="002C5DAA"/>
    <w:rsid w:val="002D0601"/>
    <w:rsid w:val="002D3C1F"/>
    <w:rsid w:val="002D69B1"/>
    <w:rsid w:val="002D7743"/>
    <w:rsid w:val="002D7C47"/>
    <w:rsid w:val="002E016A"/>
    <w:rsid w:val="002F407D"/>
    <w:rsid w:val="00300054"/>
    <w:rsid w:val="00300872"/>
    <w:rsid w:val="00301762"/>
    <w:rsid w:val="00301EA3"/>
    <w:rsid w:val="003042D4"/>
    <w:rsid w:val="00307A95"/>
    <w:rsid w:val="003112B9"/>
    <w:rsid w:val="003139A1"/>
    <w:rsid w:val="00316494"/>
    <w:rsid w:val="00321222"/>
    <w:rsid w:val="00325FAE"/>
    <w:rsid w:val="003264EF"/>
    <w:rsid w:val="003268D2"/>
    <w:rsid w:val="00327C6E"/>
    <w:rsid w:val="003322F8"/>
    <w:rsid w:val="003365A3"/>
    <w:rsid w:val="003375CF"/>
    <w:rsid w:val="0034346C"/>
    <w:rsid w:val="00345DBA"/>
    <w:rsid w:val="00347A9E"/>
    <w:rsid w:val="00347CB0"/>
    <w:rsid w:val="00350EEB"/>
    <w:rsid w:val="003537E5"/>
    <w:rsid w:val="00354BC2"/>
    <w:rsid w:val="003565E7"/>
    <w:rsid w:val="00357912"/>
    <w:rsid w:val="00371D8B"/>
    <w:rsid w:val="00373DA4"/>
    <w:rsid w:val="00375B4B"/>
    <w:rsid w:val="003816DF"/>
    <w:rsid w:val="003837B4"/>
    <w:rsid w:val="00383B37"/>
    <w:rsid w:val="003853F6"/>
    <w:rsid w:val="00391902"/>
    <w:rsid w:val="003934EA"/>
    <w:rsid w:val="0039366E"/>
    <w:rsid w:val="0039519C"/>
    <w:rsid w:val="00397217"/>
    <w:rsid w:val="003A2466"/>
    <w:rsid w:val="003A7C83"/>
    <w:rsid w:val="003B1D8D"/>
    <w:rsid w:val="003B1F25"/>
    <w:rsid w:val="003B3F4F"/>
    <w:rsid w:val="003B52DC"/>
    <w:rsid w:val="003B57E8"/>
    <w:rsid w:val="003B6D20"/>
    <w:rsid w:val="003C18DF"/>
    <w:rsid w:val="003D07C6"/>
    <w:rsid w:val="003D2682"/>
    <w:rsid w:val="003D3847"/>
    <w:rsid w:val="003D4248"/>
    <w:rsid w:val="003D4785"/>
    <w:rsid w:val="003D6922"/>
    <w:rsid w:val="003E580F"/>
    <w:rsid w:val="003E7A57"/>
    <w:rsid w:val="003F2181"/>
    <w:rsid w:val="00400F81"/>
    <w:rsid w:val="004022AF"/>
    <w:rsid w:val="00402848"/>
    <w:rsid w:val="004050D3"/>
    <w:rsid w:val="00407C95"/>
    <w:rsid w:val="00410BD6"/>
    <w:rsid w:val="00410F5A"/>
    <w:rsid w:val="00412C80"/>
    <w:rsid w:val="004138B7"/>
    <w:rsid w:val="004140F6"/>
    <w:rsid w:val="004160B1"/>
    <w:rsid w:val="0042182E"/>
    <w:rsid w:val="00423928"/>
    <w:rsid w:val="00432592"/>
    <w:rsid w:val="004329E2"/>
    <w:rsid w:val="004339AA"/>
    <w:rsid w:val="00436384"/>
    <w:rsid w:val="00437EEE"/>
    <w:rsid w:val="004414FF"/>
    <w:rsid w:val="0044161E"/>
    <w:rsid w:val="00443112"/>
    <w:rsid w:val="00445FC2"/>
    <w:rsid w:val="00456C6E"/>
    <w:rsid w:val="00457A15"/>
    <w:rsid w:val="0046189D"/>
    <w:rsid w:val="0046291B"/>
    <w:rsid w:val="00462FBA"/>
    <w:rsid w:val="004642D1"/>
    <w:rsid w:val="00464382"/>
    <w:rsid w:val="00467E05"/>
    <w:rsid w:val="00471BE5"/>
    <w:rsid w:val="004727DD"/>
    <w:rsid w:val="00476ED0"/>
    <w:rsid w:val="00477E66"/>
    <w:rsid w:val="00480D42"/>
    <w:rsid w:val="00481FC7"/>
    <w:rsid w:val="00496DA9"/>
    <w:rsid w:val="004A0619"/>
    <w:rsid w:val="004A1ABF"/>
    <w:rsid w:val="004B0E0E"/>
    <w:rsid w:val="004B18C3"/>
    <w:rsid w:val="004B1FE4"/>
    <w:rsid w:val="004B4DCA"/>
    <w:rsid w:val="004B538B"/>
    <w:rsid w:val="004B6B20"/>
    <w:rsid w:val="004C095A"/>
    <w:rsid w:val="004C25F8"/>
    <w:rsid w:val="004D1470"/>
    <w:rsid w:val="004D166F"/>
    <w:rsid w:val="004D2AB6"/>
    <w:rsid w:val="004D4023"/>
    <w:rsid w:val="004D40CC"/>
    <w:rsid w:val="004F1877"/>
    <w:rsid w:val="004F3EE0"/>
    <w:rsid w:val="004F3F44"/>
    <w:rsid w:val="004F7EF6"/>
    <w:rsid w:val="00500C3F"/>
    <w:rsid w:val="00503FA0"/>
    <w:rsid w:val="00507699"/>
    <w:rsid w:val="00512552"/>
    <w:rsid w:val="00512D3A"/>
    <w:rsid w:val="00516A8D"/>
    <w:rsid w:val="00521FE1"/>
    <w:rsid w:val="00522ED3"/>
    <w:rsid w:val="005255E6"/>
    <w:rsid w:val="00526440"/>
    <w:rsid w:val="00526715"/>
    <w:rsid w:val="005269E9"/>
    <w:rsid w:val="00526CDB"/>
    <w:rsid w:val="00530001"/>
    <w:rsid w:val="00530DA4"/>
    <w:rsid w:val="00532CE5"/>
    <w:rsid w:val="00533F06"/>
    <w:rsid w:val="005341D0"/>
    <w:rsid w:val="00534BB4"/>
    <w:rsid w:val="005418F9"/>
    <w:rsid w:val="00543A52"/>
    <w:rsid w:val="00546665"/>
    <w:rsid w:val="005555E2"/>
    <w:rsid w:val="005567F4"/>
    <w:rsid w:val="00556818"/>
    <w:rsid w:val="005579D1"/>
    <w:rsid w:val="00560247"/>
    <w:rsid w:val="00560EE9"/>
    <w:rsid w:val="005658A2"/>
    <w:rsid w:val="00565B0F"/>
    <w:rsid w:val="005668DC"/>
    <w:rsid w:val="00567342"/>
    <w:rsid w:val="00572AE1"/>
    <w:rsid w:val="0057369C"/>
    <w:rsid w:val="00575B91"/>
    <w:rsid w:val="00575EA9"/>
    <w:rsid w:val="00576268"/>
    <w:rsid w:val="00576D54"/>
    <w:rsid w:val="00580043"/>
    <w:rsid w:val="00580451"/>
    <w:rsid w:val="00581313"/>
    <w:rsid w:val="00581F44"/>
    <w:rsid w:val="005846C6"/>
    <w:rsid w:val="005929EE"/>
    <w:rsid w:val="00593FAB"/>
    <w:rsid w:val="005956E3"/>
    <w:rsid w:val="00596FCD"/>
    <w:rsid w:val="005A676B"/>
    <w:rsid w:val="005B0838"/>
    <w:rsid w:val="005B0CEA"/>
    <w:rsid w:val="005B1E25"/>
    <w:rsid w:val="005B4AB8"/>
    <w:rsid w:val="005B682E"/>
    <w:rsid w:val="005C0DF1"/>
    <w:rsid w:val="005C31B0"/>
    <w:rsid w:val="005C4038"/>
    <w:rsid w:val="005C7277"/>
    <w:rsid w:val="005D1CB1"/>
    <w:rsid w:val="005D23C0"/>
    <w:rsid w:val="005D2976"/>
    <w:rsid w:val="005D2CF2"/>
    <w:rsid w:val="005D6364"/>
    <w:rsid w:val="005D79D3"/>
    <w:rsid w:val="005E00EF"/>
    <w:rsid w:val="005E172E"/>
    <w:rsid w:val="005E3393"/>
    <w:rsid w:val="005E42B0"/>
    <w:rsid w:val="005E47BD"/>
    <w:rsid w:val="005E6C45"/>
    <w:rsid w:val="005E7592"/>
    <w:rsid w:val="005F062C"/>
    <w:rsid w:val="005F3043"/>
    <w:rsid w:val="005F7FA2"/>
    <w:rsid w:val="00604DBB"/>
    <w:rsid w:val="006065D1"/>
    <w:rsid w:val="00606C7F"/>
    <w:rsid w:val="00607D3D"/>
    <w:rsid w:val="00611A4F"/>
    <w:rsid w:val="00611CA6"/>
    <w:rsid w:val="006165E0"/>
    <w:rsid w:val="00617A53"/>
    <w:rsid w:val="00623DE8"/>
    <w:rsid w:val="00626640"/>
    <w:rsid w:val="00626E88"/>
    <w:rsid w:val="00627114"/>
    <w:rsid w:val="00627597"/>
    <w:rsid w:val="00627C19"/>
    <w:rsid w:val="0063127C"/>
    <w:rsid w:val="00632FE1"/>
    <w:rsid w:val="00637FC0"/>
    <w:rsid w:val="006402EC"/>
    <w:rsid w:val="00645498"/>
    <w:rsid w:val="006460D1"/>
    <w:rsid w:val="00646A54"/>
    <w:rsid w:val="0065421C"/>
    <w:rsid w:val="00660540"/>
    <w:rsid w:val="00661058"/>
    <w:rsid w:val="00663CAD"/>
    <w:rsid w:val="0066476F"/>
    <w:rsid w:val="00667ACA"/>
    <w:rsid w:val="0067098E"/>
    <w:rsid w:val="00670D47"/>
    <w:rsid w:val="00681B80"/>
    <w:rsid w:val="00681E73"/>
    <w:rsid w:val="0068239C"/>
    <w:rsid w:val="00683E69"/>
    <w:rsid w:val="00697C4B"/>
    <w:rsid w:val="006A491B"/>
    <w:rsid w:val="006A4968"/>
    <w:rsid w:val="006A702E"/>
    <w:rsid w:val="006B0072"/>
    <w:rsid w:val="006B18DA"/>
    <w:rsid w:val="006B1FA7"/>
    <w:rsid w:val="006B34B8"/>
    <w:rsid w:val="006B614B"/>
    <w:rsid w:val="006C0ECF"/>
    <w:rsid w:val="006C5F38"/>
    <w:rsid w:val="006C7EAB"/>
    <w:rsid w:val="006D7519"/>
    <w:rsid w:val="006E0892"/>
    <w:rsid w:val="006E0A2B"/>
    <w:rsid w:val="006E1A73"/>
    <w:rsid w:val="006E2E80"/>
    <w:rsid w:val="006E5C9A"/>
    <w:rsid w:val="006F5B7C"/>
    <w:rsid w:val="006F6805"/>
    <w:rsid w:val="006F7447"/>
    <w:rsid w:val="00701C64"/>
    <w:rsid w:val="00702BC8"/>
    <w:rsid w:val="007104AD"/>
    <w:rsid w:val="007111CC"/>
    <w:rsid w:val="00712194"/>
    <w:rsid w:val="0071360A"/>
    <w:rsid w:val="00716850"/>
    <w:rsid w:val="00720BC1"/>
    <w:rsid w:val="0072188B"/>
    <w:rsid w:val="00721CD1"/>
    <w:rsid w:val="00722AAD"/>
    <w:rsid w:val="00723E86"/>
    <w:rsid w:val="00724DBE"/>
    <w:rsid w:val="007255D5"/>
    <w:rsid w:val="00727439"/>
    <w:rsid w:val="00732078"/>
    <w:rsid w:val="007333DC"/>
    <w:rsid w:val="00734A74"/>
    <w:rsid w:val="00735CD7"/>
    <w:rsid w:val="007402CA"/>
    <w:rsid w:val="00740C5A"/>
    <w:rsid w:val="00741BC6"/>
    <w:rsid w:val="007430CD"/>
    <w:rsid w:val="00745343"/>
    <w:rsid w:val="0074535C"/>
    <w:rsid w:val="00746F30"/>
    <w:rsid w:val="007505B3"/>
    <w:rsid w:val="00753973"/>
    <w:rsid w:val="00754C11"/>
    <w:rsid w:val="007564EF"/>
    <w:rsid w:val="00756F46"/>
    <w:rsid w:val="0076146C"/>
    <w:rsid w:val="00763E1B"/>
    <w:rsid w:val="00763FAF"/>
    <w:rsid w:val="007640C7"/>
    <w:rsid w:val="0076457A"/>
    <w:rsid w:val="00766A50"/>
    <w:rsid w:val="00767303"/>
    <w:rsid w:val="00771E62"/>
    <w:rsid w:val="00773575"/>
    <w:rsid w:val="00773C41"/>
    <w:rsid w:val="00775801"/>
    <w:rsid w:val="00775A49"/>
    <w:rsid w:val="00785C42"/>
    <w:rsid w:val="007903C7"/>
    <w:rsid w:val="00792EBF"/>
    <w:rsid w:val="00793958"/>
    <w:rsid w:val="007943AE"/>
    <w:rsid w:val="0079480A"/>
    <w:rsid w:val="00794AE7"/>
    <w:rsid w:val="007959BE"/>
    <w:rsid w:val="00795CCF"/>
    <w:rsid w:val="00796034"/>
    <w:rsid w:val="00796147"/>
    <w:rsid w:val="007A03AC"/>
    <w:rsid w:val="007A3EE0"/>
    <w:rsid w:val="007A7805"/>
    <w:rsid w:val="007B1297"/>
    <w:rsid w:val="007B14F6"/>
    <w:rsid w:val="007B2E58"/>
    <w:rsid w:val="007B4349"/>
    <w:rsid w:val="007C54EA"/>
    <w:rsid w:val="007C5D9A"/>
    <w:rsid w:val="007D0F75"/>
    <w:rsid w:val="007D12D8"/>
    <w:rsid w:val="007D2DD5"/>
    <w:rsid w:val="007D315F"/>
    <w:rsid w:val="007D3BF8"/>
    <w:rsid w:val="007D5733"/>
    <w:rsid w:val="007D6D20"/>
    <w:rsid w:val="007D6FA9"/>
    <w:rsid w:val="007E058E"/>
    <w:rsid w:val="007E16BA"/>
    <w:rsid w:val="007E4FDD"/>
    <w:rsid w:val="007E6F53"/>
    <w:rsid w:val="007F05DF"/>
    <w:rsid w:val="007F1E77"/>
    <w:rsid w:val="007F3B3E"/>
    <w:rsid w:val="00800222"/>
    <w:rsid w:val="00803CD2"/>
    <w:rsid w:val="00803D87"/>
    <w:rsid w:val="008112DA"/>
    <w:rsid w:val="00811804"/>
    <w:rsid w:val="008134E1"/>
    <w:rsid w:val="00813665"/>
    <w:rsid w:val="00821587"/>
    <w:rsid w:val="0082208B"/>
    <w:rsid w:val="00827611"/>
    <w:rsid w:val="00831582"/>
    <w:rsid w:val="00831D06"/>
    <w:rsid w:val="00832652"/>
    <w:rsid w:val="008360B3"/>
    <w:rsid w:val="008370F4"/>
    <w:rsid w:val="00842523"/>
    <w:rsid w:val="008470B1"/>
    <w:rsid w:val="00847FE7"/>
    <w:rsid w:val="00850101"/>
    <w:rsid w:val="00860BE0"/>
    <w:rsid w:val="008612D6"/>
    <w:rsid w:val="00863CD9"/>
    <w:rsid w:val="00867FBE"/>
    <w:rsid w:val="0087042A"/>
    <w:rsid w:val="008716C1"/>
    <w:rsid w:val="0087415B"/>
    <w:rsid w:val="00877723"/>
    <w:rsid w:val="008808B4"/>
    <w:rsid w:val="0088232D"/>
    <w:rsid w:val="00894061"/>
    <w:rsid w:val="008947E9"/>
    <w:rsid w:val="00897B67"/>
    <w:rsid w:val="008A1228"/>
    <w:rsid w:val="008A1A56"/>
    <w:rsid w:val="008C2FD7"/>
    <w:rsid w:val="008C73CE"/>
    <w:rsid w:val="008D0F07"/>
    <w:rsid w:val="008D12E7"/>
    <w:rsid w:val="008D40FE"/>
    <w:rsid w:val="008D44DD"/>
    <w:rsid w:val="008D6277"/>
    <w:rsid w:val="008D72FC"/>
    <w:rsid w:val="008E0208"/>
    <w:rsid w:val="008E3681"/>
    <w:rsid w:val="008E4D4C"/>
    <w:rsid w:val="008E6EDD"/>
    <w:rsid w:val="008F158F"/>
    <w:rsid w:val="008F48EC"/>
    <w:rsid w:val="008F5FE1"/>
    <w:rsid w:val="008F7107"/>
    <w:rsid w:val="00902A6B"/>
    <w:rsid w:val="009037DF"/>
    <w:rsid w:val="00904D1A"/>
    <w:rsid w:val="009050E3"/>
    <w:rsid w:val="00905677"/>
    <w:rsid w:val="009059D9"/>
    <w:rsid w:val="00905F87"/>
    <w:rsid w:val="0091257D"/>
    <w:rsid w:val="0091692C"/>
    <w:rsid w:val="0092034B"/>
    <w:rsid w:val="00920560"/>
    <w:rsid w:val="00920C3A"/>
    <w:rsid w:val="009247F5"/>
    <w:rsid w:val="00925AF0"/>
    <w:rsid w:val="009261B2"/>
    <w:rsid w:val="0093245D"/>
    <w:rsid w:val="009379EC"/>
    <w:rsid w:val="00940C76"/>
    <w:rsid w:val="00941D87"/>
    <w:rsid w:val="00945125"/>
    <w:rsid w:val="009466DA"/>
    <w:rsid w:val="00947CF4"/>
    <w:rsid w:val="00952A50"/>
    <w:rsid w:val="00952D85"/>
    <w:rsid w:val="009535DC"/>
    <w:rsid w:val="0095380C"/>
    <w:rsid w:val="00955394"/>
    <w:rsid w:val="00955F1C"/>
    <w:rsid w:val="0096791F"/>
    <w:rsid w:val="0097220D"/>
    <w:rsid w:val="0097337E"/>
    <w:rsid w:val="00974007"/>
    <w:rsid w:val="0097584E"/>
    <w:rsid w:val="0097648F"/>
    <w:rsid w:val="00976E86"/>
    <w:rsid w:val="0097789D"/>
    <w:rsid w:val="00981465"/>
    <w:rsid w:val="00981E5D"/>
    <w:rsid w:val="009844B3"/>
    <w:rsid w:val="0098660B"/>
    <w:rsid w:val="00986773"/>
    <w:rsid w:val="00986952"/>
    <w:rsid w:val="00993EE1"/>
    <w:rsid w:val="00994825"/>
    <w:rsid w:val="00995269"/>
    <w:rsid w:val="00997329"/>
    <w:rsid w:val="009A0C00"/>
    <w:rsid w:val="009A274C"/>
    <w:rsid w:val="009A63D7"/>
    <w:rsid w:val="009B08DA"/>
    <w:rsid w:val="009B2738"/>
    <w:rsid w:val="009B432C"/>
    <w:rsid w:val="009B5AAE"/>
    <w:rsid w:val="009B5C4C"/>
    <w:rsid w:val="009B7264"/>
    <w:rsid w:val="009C1555"/>
    <w:rsid w:val="009C73D3"/>
    <w:rsid w:val="009D35C9"/>
    <w:rsid w:val="009D494E"/>
    <w:rsid w:val="009D55F1"/>
    <w:rsid w:val="009D6464"/>
    <w:rsid w:val="009D68B1"/>
    <w:rsid w:val="009D68E6"/>
    <w:rsid w:val="009E293B"/>
    <w:rsid w:val="009E7105"/>
    <w:rsid w:val="009E77A4"/>
    <w:rsid w:val="009F214E"/>
    <w:rsid w:val="009F35D9"/>
    <w:rsid w:val="009F7110"/>
    <w:rsid w:val="00A002C5"/>
    <w:rsid w:val="00A02A32"/>
    <w:rsid w:val="00A06EA9"/>
    <w:rsid w:val="00A1023B"/>
    <w:rsid w:val="00A1204F"/>
    <w:rsid w:val="00A12919"/>
    <w:rsid w:val="00A15763"/>
    <w:rsid w:val="00A23991"/>
    <w:rsid w:val="00A27180"/>
    <w:rsid w:val="00A3002F"/>
    <w:rsid w:val="00A374CE"/>
    <w:rsid w:val="00A4367F"/>
    <w:rsid w:val="00A46C53"/>
    <w:rsid w:val="00A4716D"/>
    <w:rsid w:val="00A4771F"/>
    <w:rsid w:val="00A47D6D"/>
    <w:rsid w:val="00A51331"/>
    <w:rsid w:val="00A5528C"/>
    <w:rsid w:val="00A77B23"/>
    <w:rsid w:val="00A80B92"/>
    <w:rsid w:val="00A81E74"/>
    <w:rsid w:val="00A90DC5"/>
    <w:rsid w:val="00A93259"/>
    <w:rsid w:val="00A94F2B"/>
    <w:rsid w:val="00AA2DEE"/>
    <w:rsid w:val="00AB2245"/>
    <w:rsid w:val="00AB28CE"/>
    <w:rsid w:val="00AB2E2C"/>
    <w:rsid w:val="00AB3078"/>
    <w:rsid w:val="00AB6EB0"/>
    <w:rsid w:val="00AC55AB"/>
    <w:rsid w:val="00AC5AF7"/>
    <w:rsid w:val="00AC77DA"/>
    <w:rsid w:val="00AD043C"/>
    <w:rsid w:val="00AD3F99"/>
    <w:rsid w:val="00AD5FD0"/>
    <w:rsid w:val="00AF03DE"/>
    <w:rsid w:val="00AF6DF8"/>
    <w:rsid w:val="00B012E6"/>
    <w:rsid w:val="00B03AC4"/>
    <w:rsid w:val="00B07BC3"/>
    <w:rsid w:val="00B14BF4"/>
    <w:rsid w:val="00B14DA0"/>
    <w:rsid w:val="00B1757D"/>
    <w:rsid w:val="00B206A4"/>
    <w:rsid w:val="00B21536"/>
    <w:rsid w:val="00B24D52"/>
    <w:rsid w:val="00B30C05"/>
    <w:rsid w:val="00B3100E"/>
    <w:rsid w:val="00B333BC"/>
    <w:rsid w:val="00B351ED"/>
    <w:rsid w:val="00B3767E"/>
    <w:rsid w:val="00B4267D"/>
    <w:rsid w:val="00B4719D"/>
    <w:rsid w:val="00B52A02"/>
    <w:rsid w:val="00B53CAE"/>
    <w:rsid w:val="00B551F5"/>
    <w:rsid w:val="00B57656"/>
    <w:rsid w:val="00B57D29"/>
    <w:rsid w:val="00B57EDE"/>
    <w:rsid w:val="00B664A9"/>
    <w:rsid w:val="00B701B7"/>
    <w:rsid w:val="00B71AF7"/>
    <w:rsid w:val="00B73D10"/>
    <w:rsid w:val="00B74C9C"/>
    <w:rsid w:val="00B7605F"/>
    <w:rsid w:val="00B7777E"/>
    <w:rsid w:val="00B803CA"/>
    <w:rsid w:val="00B8367A"/>
    <w:rsid w:val="00B84244"/>
    <w:rsid w:val="00B912DD"/>
    <w:rsid w:val="00B97D6F"/>
    <w:rsid w:val="00BA08B1"/>
    <w:rsid w:val="00BA0BA3"/>
    <w:rsid w:val="00BA3803"/>
    <w:rsid w:val="00BA556C"/>
    <w:rsid w:val="00BB02DF"/>
    <w:rsid w:val="00BB115A"/>
    <w:rsid w:val="00BB2C68"/>
    <w:rsid w:val="00BB4146"/>
    <w:rsid w:val="00BB667B"/>
    <w:rsid w:val="00BC12CE"/>
    <w:rsid w:val="00BC1B9C"/>
    <w:rsid w:val="00BC22D3"/>
    <w:rsid w:val="00BC65BC"/>
    <w:rsid w:val="00BC6E28"/>
    <w:rsid w:val="00BC7C94"/>
    <w:rsid w:val="00BD061E"/>
    <w:rsid w:val="00BD0679"/>
    <w:rsid w:val="00BD1136"/>
    <w:rsid w:val="00BD60A1"/>
    <w:rsid w:val="00BD663E"/>
    <w:rsid w:val="00BE1547"/>
    <w:rsid w:val="00BE2DC3"/>
    <w:rsid w:val="00BE356E"/>
    <w:rsid w:val="00BE66A9"/>
    <w:rsid w:val="00BE6F27"/>
    <w:rsid w:val="00BF533D"/>
    <w:rsid w:val="00C01FFF"/>
    <w:rsid w:val="00C031F2"/>
    <w:rsid w:val="00C063C9"/>
    <w:rsid w:val="00C112F3"/>
    <w:rsid w:val="00C13948"/>
    <w:rsid w:val="00C15E2E"/>
    <w:rsid w:val="00C15ED6"/>
    <w:rsid w:val="00C20341"/>
    <w:rsid w:val="00C24A70"/>
    <w:rsid w:val="00C275E9"/>
    <w:rsid w:val="00C27981"/>
    <w:rsid w:val="00C32FB5"/>
    <w:rsid w:val="00C359C1"/>
    <w:rsid w:val="00C36210"/>
    <w:rsid w:val="00C36C95"/>
    <w:rsid w:val="00C427B7"/>
    <w:rsid w:val="00C44A71"/>
    <w:rsid w:val="00C45712"/>
    <w:rsid w:val="00C45761"/>
    <w:rsid w:val="00C45E1B"/>
    <w:rsid w:val="00C50A27"/>
    <w:rsid w:val="00C64793"/>
    <w:rsid w:val="00C6760F"/>
    <w:rsid w:val="00C676F9"/>
    <w:rsid w:val="00C72DCB"/>
    <w:rsid w:val="00C75E89"/>
    <w:rsid w:val="00C75FF0"/>
    <w:rsid w:val="00C76366"/>
    <w:rsid w:val="00C76747"/>
    <w:rsid w:val="00C76754"/>
    <w:rsid w:val="00C80D6A"/>
    <w:rsid w:val="00C8190E"/>
    <w:rsid w:val="00C830B4"/>
    <w:rsid w:val="00C83BA0"/>
    <w:rsid w:val="00C9064B"/>
    <w:rsid w:val="00CA343D"/>
    <w:rsid w:val="00CA3867"/>
    <w:rsid w:val="00CA38C1"/>
    <w:rsid w:val="00CA3A46"/>
    <w:rsid w:val="00CA431F"/>
    <w:rsid w:val="00CA5419"/>
    <w:rsid w:val="00CA61EF"/>
    <w:rsid w:val="00CB03A8"/>
    <w:rsid w:val="00CB24FB"/>
    <w:rsid w:val="00CB2FC2"/>
    <w:rsid w:val="00CC048B"/>
    <w:rsid w:val="00CC36D3"/>
    <w:rsid w:val="00CC4A49"/>
    <w:rsid w:val="00CC79B4"/>
    <w:rsid w:val="00CD11E9"/>
    <w:rsid w:val="00CD2100"/>
    <w:rsid w:val="00CD6465"/>
    <w:rsid w:val="00CD708B"/>
    <w:rsid w:val="00CE4191"/>
    <w:rsid w:val="00CE4215"/>
    <w:rsid w:val="00CE436B"/>
    <w:rsid w:val="00CE4D71"/>
    <w:rsid w:val="00CE62F8"/>
    <w:rsid w:val="00CE6B78"/>
    <w:rsid w:val="00CE6D41"/>
    <w:rsid w:val="00CF3134"/>
    <w:rsid w:val="00CF430D"/>
    <w:rsid w:val="00CF6CFF"/>
    <w:rsid w:val="00D003E8"/>
    <w:rsid w:val="00D017FD"/>
    <w:rsid w:val="00D02527"/>
    <w:rsid w:val="00D03EB7"/>
    <w:rsid w:val="00D0681D"/>
    <w:rsid w:val="00D104B1"/>
    <w:rsid w:val="00D10F75"/>
    <w:rsid w:val="00D13117"/>
    <w:rsid w:val="00D149A2"/>
    <w:rsid w:val="00D255CC"/>
    <w:rsid w:val="00D25E49"/>
    <w:rsid w:val="00D27D17"/>
    <w:rsid w:val="00D30420"/>
    <w:rsid w:val="00D33D0D"/>
    <w:rsid w:val="00D33FB6"/>
    <w:rsid w:val="00D341BD"/>
    <w:rsid w:val="00D35962"/>
    <w:rsid w:val="00D37002"/>
    <w:rsid w:val="00D375F6"/>
    <w:rsid w:val="00D40910"/>
    <w:rsid w:val="00D4223E"/>
    <w:rsid w:val="00D4492A"/>
    <w:rsid w:val="00D470B3"/>
    <w:rsid w:val="00D505FC"/>
    <w:rsid w:val="00D51358"/>
    <w:rsid w:val="00D51600"/>
    <w:rsid w:val="00D516BE"/>
    <w:rsid w:val="00D51C14"/>
    <w:rsid w:val="00D51EAF"/>
    <w:rsid w:val="00D57DEE"/>
    <w:rsid w:val="00D61F01"/>
    <w:rsid w:val="00D639CA"/>
    <w:rsid w:val="00D67F42"/>
    <w:rsid w:val="00D700FB"/>
    <w:rsid w:val="00D705A6"/>
    <w:rsid w:val="00D707DD"/>
    <w:rsid w:val="00D70DFD"/>
    <w:rsid w:val="00D717E9"/>
    <w:rsid w:val="00D73BA3"/>
    <w:rsid w:val="00D77559"/>
    <w:rsid w:val="00D81713"/>
    <w:rsid w:val="00D92B19"/>
    <w:rsid w:val="00DA3CC3"/>
    <w:rsid w:val="00DA72CB"/>
    <w:rsid w:val="00DB14C1"/>
    <w:rsid w:val="00DB2346"/>
    <w:rsid w:val="00DB2A9E"/>
    <w:rsid w:val="00DB3C68"/>
    <w:rsid w:val="00DB438D"/>
    <w:rsid w:val="00DC3A6F"/>
    <w:rsid w:val="00DC638C"/>
    <w:rsid w:val="00DD13F5"/>
    <w:rsid w:val="00DD17AB"/>
    <w:rsid w:val="00DD1E1A"/>
    <w:rsid w:val="00DD26DB"/>
    <w:rsid w:val="00DD4537"/>
    <w:rsid w:val="00DD4AEC"/>
    <w:rsid w:val="00DD4CB6"/>
    <w:rsid w:val="00DD6DCE"/>
    <w:rsid w:val="00DD7808"/>
    <w:rsid w:val="00DE1AD9"/>
    <w:rsid w:val="00DE1FF6"/>
    <w:rsid w:val="00DE57A0"/>
    <w:rsid w:val="00DE6369"/>
    <w:rsid w:val="00DF13D1"/>
    <w:rsid w:val="00DF1B85"/>
    <w:rsid w:val="00DF4043"/>
    <w:rsid w:val="00DF70D8"/>
    <w:rsid w:val="00E0323D"/>
    <w:rsid w:val="00E12AB7"/>
    <w:rsid w:val="00E15DF8"/>
    <w:rsid w:val="00E168FD"/>
    <w:rsid w:val="00E16B02"/>
    <w:rsid w:val="00E1760E"/>
    <w:rsid w:val="00E20A79"/>
    <w:rsid w:val="00E21AB5"/>
    <w:rsid w:val="00E23EED"/>
    <w:rsid w:val="00E242A8"/>
    <w:rsid w:val="00E245B6"/>
    <w:rsid w:val="00E2534A"/>
    <w:rsid w:val="00E271EC"/>
    <w:rsid w:val="00E34E04"/>
    <w:rsid w:val="00E3588A"/>
    <w:rsid w:val="00E36E99"/>
    <w:rsid w:val="00E37A6B"/>
    <w:rsid w:val="00E40995"/>
    <w:rsid w:val="00E43BF4"/>
    <w:rsid w:val="00E4453E"/>
    <w:rsid w:val="00E4507A"/>
    <w:rsid w:val="00E45955"/>
    <w:rsid w:val="00E549D7"/>
    <w:rsid w:val="00E55ECE"/>
    <w:rsid w:val="00E63577"/>
    <w:rsid w:val="00E63BFE"/>
    <w:rsid w:val="00E65ADC"/>
    <w:rsid w:val="00E66F33"/>
    <w:rsid w:val="00E67AA4"/>
    <w:rsid w:val="00E700BE"/>
    <w:rsid w:val="00E725F9"/>
    <w:rsid w:val="00E73E44"/>
    <w:rsid w:val="00E7775E"/>
    <w:rsid w:val="00E811B3"/>
    <w:rsid w:val="00E82645"/>
    <w:rsid w:val="00E95E45"/>
    <w:rsid w:val="00E96555"/>
    <w:rsid w:val="00EA359D"/>
    <w:rsid w:val="00EA3A6D"/>
    <w:rsid w:val="00EA4A07"/>
    <w:rsid w:val="00EB133F"/>
    <w:rsid w:val="00EB22EE"/>
    <w:rsid w:val="00EC0DBE"/>
    <w:rsid w:val="00EC0EF1"/>
    <w:rsid w:val="00EC26C0"/>
    <w:rsid w:val="00EC3B4B"/>
    <w:rsid w:val="00EC3E24"/>
    <w:rsid w:val="00EC3FEE"/>
    <w:rsid w:val="00EC4E94"/>
    <w:rsid w:val="00ED0F6A"/>
    <w:rsid w:val="00ED768C"/>
    <w:rsid w:val="00EE3512"/>
    <w:rsid w:val="00EE3605"/>
    <w:rsid w:val="00EE3E8F"/>
    <w:rsid w:val="00EE3EA8"/>
    <w:rsid w:val="00EE4F96"/>
    <w:rsid w:val="00EE6B43"/>
    <w:rsid w:val="00EE705D"/>
    <w:rsid w:val="00EF0106"/>
    <w:rsid w:val="00EF4EE0"/>
    <w:rsid w:val="00EF4F47"/>
    <w:rsid w:val="00EF5579"/>
    <w:rsid w:val="00F0071D"/>
    <w:rsid w:val="00F01A1D"/>
    <w:rsid w:val="00F02AF0"/>
    <w:rsid w:val="00F03696"/>
    <w:rsid w:val="00F07C21"/>
    <w:rsid w:val="00F10544"/>
    <w:rsid w:val="00F15D0F"/>
    <w:rsid w:val="00F21463"/>
    <w:rsid w:val="00F223A1"/>
    <w:rsid w:val="00F22AA3"/>
    <w:rsid w:val="00F2391C"/>
    <w:rsid w:val="00F24EAF"/>
    <w:rsid w:val="00F30203"/>
    <w:rsid w:val="00F31D5F"/>
    <w:rsid w:val="00F3213F"/>
    <w:rsid w:val="00F341FD"/>
    <w:rsid w:val="00F3421D"/>
    <w:rsid w:val="00F34FFD"/>
    <w:rsid w:val="00F44956"/>
    <w:rsid w:val="00F51C45"/>
    <w:rsid w:val="00F5222F"/>
    <w:rsid w:val="00F5234C"/>
    <w:rsid w:val="00F52A3B"/>
    <w:rsid w:val="00F53083"/>
    <w:rsid w:val="00F53785"/>
    <w:rsid w:val="00F631CB"/>
    <w:rsid w:val="00F667B7"/>
    <w:rsid w:val="00F702B8"/>
    <w:rsid w:val="00F70F86"/>
    <w:rsid w:val="00F72F88"/>
    <w:rsid w:val="00F73D9E"/>
    <w:rsid w:val="00F75A55"/>
    <w:rsid w:val="00F75BA4"/>
    <w:rsid w:val="00F86FDA"/>
    <w:rsid w:val="00F87002"/>
    <w:rsid w:val="00F9137F"/>
    <w:rsid w:val="00F94128"/>
    <w:rsid w:val="00F952D9"/>
    <w:rsid w:val="00F96268"/>
    <w:rsid w:val="00F96955"/>
    <w:rsid w:val="00FA00E7"/>
    <w:rsid w:val="00FA10C1"/>
    <w:rsid w:val="00FA5E18"/>
    <w:rsid w:val="00FA62D1"/>
    <w:rsid w:val="00FB052F"/>
    <w:rsid w:val="00FB115E"/>
    <w:rsid w:val="00FB4547"/>
    <w:rsid w:val="00FC352B"/>
    <w:rsid w:val="00FC6A3E"/>
    <w:rsid w:val="00FD1534"/>
    <w:rsid w:val="00FD18DD"/>
    <w:rsid w:val="00FE11AF"/>
    <w:rsid w:val="00FE3621"/>
    <w:rsid w:val="00FE465F"/>
    <w:rsid w:val="00FE5D69"/>
    <w:rsid w:val="00FE7A2D"/>
    <w:rsid w:val="00FE7F6D"/>
    <w:rsid w:val="00FF4962"/>
    <w:rsid w:val="00FF4DEA"/>
    <w:rsid w:val="00FF5431"/>
    <w:rsid w:val="00FF6E24"/>
    <w:rsid w:val="00FF7D74"/>
    <w:rsid w:val="010E5945"/>
    <w:rsid w:val="011B0B5F"/>
    <w:rsid w:val="01924B58"/>
    <w:rsid w:val="01A93FA3"/>
    <w:rsid w:val="01AC3A93"/>
    <w:rsid w:val="01F03CB3"/>
    <w:rsid w:val="020227A1"/>
    <w:rsid w:val="023B6A38"/>
    <w:rsid w:val="024A0BB7"/>
    <w:rsid w:val="027C3466"/>
    <w:rsid w:val="02C62933"/>
    <w:rsid w:val="02DC3F04"/>
    <w:rsid w:val="02E37041"/>
    <w:rsid w:val="033433CD"/>
    <w:rsid w:val="036F2FCB"/>
    <w:rsid w:val="03724869"/>
    <w:rsid w:val="03885E3A"/>
    <w:rsid w:val="039B3DC0"/>
    <w:rsid w:val="039B5B6E"/>
    <w:rsid w:val="039B791C"/>
    <w:rsid w:val="03DA48E8"/>
    <w:rsid w:val="03F618CA"/>
    <w:rsid w:val="04212517"/>
    <w:rsid w:val="042B5143"/>
    <w:rsid w:val="049F343C"/>
    <w:rsid w:val="04DD5D12"/>
    <w:rsid w:val="04FE63B4"/>
    <w:rsid w:val="05485881"/>
    <w:rsid w:val="05942874"/>
    <w:rsid w:val="05997E8B"/>
    <w:rsid w:val="059D6B5E"/>
    <w:rsid w:val="05E07B33"/>
    <w:rsid w:val="067F6E5E"/>
    <w:rsid w:val="06813E39"/>
    <w:rsid w:val="06BA27AF"/>
    <w:rsid w:val="06C453DB"/>
    <w:rsid w:val="06E96BF0"/>
    <w:rsid w:val="06EE4206"/>
    <w:rsid w:val="07100225"/>
    <w:rsid w:val="07222102"/>
    <w:rsid w:val="07550729"/>
    <w:rsid w:val="07554285"/>
    <w:rsid w:val="076D15CF"/>
    <w:rsid w:val="077741FC"/>
    <w:rsid w:val="07866B35"/>
    <w:rsid w:val="078D7EC3"/>
    <w:rsid w:val="07A174CB"/>
    <w:rsid w:val="07AD40C1"/>
    <w:rsid w:val="07B471FE"/>
    <w:rsid w:val="07CA07CF"/>
    <w:rsid w:val="080E2562"/>
    <w:rsid w:val="08564759"/>
    <w:rsid w:val="08986B20"/>
    <w:rsid w:val="08B60D54"/>
    <w:rsid w:val="08B63DD9"/>
    <w:rsid w:val="08D631A4"/>
    <w:rsid w:val="08DF64FD"/>
    <w:rsid w:val="08FC0E5C"/>
    <w:rsid w:val="09164338"/>
    <w:rsid w:val="093A7BD7"/>
    <w:rsid w:val="09736C45"/>
    <w:rsid w:val="09A82D92"/>
    <w:rsid w:val="09BA4874"/>
    <w:rsid w:val="09EF276F"/>
    <w:rsid w:val="0A014251"/>
    <w:rsid w:val="0A1E4E03"/>
    <w:rsid w:val="0A231253"/>
    <w:rsid w:val="0A287A2F"/>
    <w:rsid w:val="0A397E8E"/>
    <w:rsid w:val="0A481E7F"/>
    <w:rsid w:val="0A4D7496"/>
    <w:rsid w:val="0A6E1714"/>
    <w:rsid w:val="0A7E1D45"/>
    <w:rsid w:val="0A8455AD"/>
    <w:rsid w:val="0AA23C86"/>
    <w:rsid w:val="0AA66B07"/>
    <w:rsid w:val="0ABF0394"/>
    <w:rsid w:val="0AC92FC0"/>
    <w:rsid w:val="0AD11E75"/>
    <w:rsid w:val="0ADD2F10"/>
    <w:rsid w:val="0AE41BA8"/>
    <w:rsid w:val="0AE93662"/>
    <w:rsid w:val="0B2C5E24"/>
    <w:rsid w:val="0B3F7726"/>
    <w:rsid w:val="0B5F3925"/>
    <w:rsid w:val="0B995089"/>
    <w:rsid w:val="0BAA1044"/>
    <w:rsid w:val="0BAD28E2"/>
    <w:rsid w:val="0BB04180"/>
    <w:rsid w:val="0BC33EB3"/>
    <w:rsid w:val="0BC65752"/>
    <w:rsid w:val="0BEF4CA9"/>
    <w:rsid w:val="0C3B6140"/>
    <w:rsid w:val="0C474AE5"/>
    <w:rsid w:val="0C525237"/>
    <w:rsid w:val="0C5745FC"/>
    <w:rsid w:val="0C611E63"/>
    <w:rsid w:val="0C77290A"/>
    <w:rsid w:val="0C880C59"/>
    <w:rsid w:val="0CCA1272"/>
    <w:rsid w:val="0CD8398F"/>
    <w:rsid w:val="0CF34325"/>
    <w:rsid w:val="0D1D3A97"/>
    <w:rsid w:val="0D3D5EE8"/>
    <w:rsid w:val="0D5D5C42"/>
    <w:rsid w:val="0D7A4A46"/>
    <w:rsid w:val="0D921D8F"/>
    <w:rsid w:val="0DA306EE"/>
    <w:rsid w:val="0DCD2DC7"/>
    <w:rsid w:val="0DD95C10"/>
    <w:rsid w:val="0DD979BE"/>
    <w:rsid w:val="0DE34399"/>
    <w:rsid w:val="0DE35156"/>
    <w:rsid w:val="0E110D22"/>
    <w:rsid w:val="0E6D45AA"/>
    <w:rsid w:val="0E76345F"/>
    <w:rsid w:val="0EA408D8"/>
    <w:rsid w:val="0EAF4BC3"/>
    <w:rsid w:val="0EB14497"/>
    <w:rsid w:val="0EC35F79"/>
    <w:rsid w:val="0ED32660"/>
    <w:rsid w:val="0EDD528C"/>
    <w:rsid w:val="0EEF6D6E"/>
    <w:rsid w:val="0EF95E3E"/>
    <w:rsid w:val="0EFB3964"/>
    <w:rsid w:val="0F851480"/>
    <w:rsid w:val="0F9A4F2B"/>
    <w:rsid w:val="0FC419ED"/>
    <w:rsid w:val="0FE4264A"/>
    <w:rsid w:val="0FE73EE9"/>
    <w:rsid w:val="10046849"/>
    <w:rsid w:val="10487171"/>
    <w:rsid w:val="10522556"/>
    <w:rsid w:val="10A342B4"/>
    <w:rsid w:val="10AB2BE5"/>
    <w:rsid w:val="10AD1786"/>
    <w:rsid w:val="10BE4C49"/>
    <w:rsid w:val="1102722C"/>
    <w:rsid w:val="11203B56"/>
    <w:rsid w:val="11291900"/>
    <w:rsid w:val="11360C84"/>
    <w:rsid w:val="11481B52"/>
    <w:rsid w:val="114A472F"/>
    <w:rsid w:val="11625F1D"/>
    <w:rsid w:val="116457F1"/>
    <w:rsid w:val="117B0D8C"/>
    <w:rsid w:val="118063A3"/>
    <w:rsid w:val="1191235E"/>
    <w:rsid w:val="121656BA"/>
    <w:rsid w:val="12301B77"/>
    <w:rsid w:val="1232769D"/>
    <w:rsid w:val="124B4C03"/>
    <w:rsid w:val="12535865"/>
    <w:rsid w:val="12771554"/>
    <w:rsid w:val="12851EC3"/>
    <w:rsid w:val="1288550F"/>
    <w:rsid w:val="12957C2C"/>
    <w:rsid w:val="12A32349"/>
    <w:rsid w:val="12CC5D44"/>
    <w:rsid w:val="12CC7AF2"/>
    <w:rsid w:val="12E34E3B"/>
    <w:rsid w:val="131C7B0C"/>
    <w:rsid w:val="1363315E"/>
    <w:rsid w:val="13855EF2"/>
    <w:rsid w:val="13985C26"/>
    <w:rsid w:val="13AC7923"/>
    <w:rsid w:val="13BD743A"/>
    <w:rsid w:val="13CB5DEF"/>
    <w:rsid w:val="13CC6F58"/>
    <w:rsid w:val="13D36C5E"/>
    <w:rsid w:val="13E32810"/>
    <w:rsid w:val="142179C9"/>
    <w:rsid w:val="145C4EA5"/>
    <w:rsid w:val="1479405A"/>
    <w:rsid w:val="14B63AEE"/>
    <w:rsid w:val="14C173FE"/>
    <w:rsid w:val="14D47131"/>
    <w:rsid w:val="14DA401C"/>
    <w:rsid w:val="14EA4E3C"/>
    <w:rsid w:val="15082937"/>
    <w:rsid w:val="15314652"/>
    <w:rsid w:val="15545B7C"/>
    <w:rsid w:val="15593193"/>
    <w:rsid w:val="15714980"/>
    <w:rsid w:val="1571543C"/>
    <w:rsid w:val="1574621E"/>
    <w:rsid w:val="157728C9"/>
    <w:rsid w:val="157F52EF"/>
    <w:rsid w:val="158C5316"/>
    <w:rsid w:val="158D108E"/>
    <w:rsid w:val="15D8055B"/>
    <w:rsid w:val="160C28FB"/>
    <w:rsid w:val="161404C8"/>
    <w:rsid w:val="161C0D90"/>
    <w:rsid w:val="162714E3"/>
    <w:rsid w:val="1638724C"/>
    <w:rsid w:val="164C2CF7"/>
    <w:rsid w:val="16881F81"/>
    <w:rsid w:val="16D451C7"/>
    <w:rsid w:val="16DA6555"/>
    <w:rsid w:val="16DC22CD"/>
    <w:rsid w:val="16F0332F"/>
    <w:rsid w:val="17410382"/>
    <w:rsid w:val="174A5489"/>
    <w:rsid w:val="17654071"/>
    <w:rsid w:val="178C5AA1"/>
    <w:rsid w:val="17935082"/>
    <w:rsid w:val="17B374D2"/>
    <w:rsid w:val="17F378CF"/>
    <w:rsid w:val="17F673BF"/>
    <w:rsid w:val="18475E6C"/>
    <w:rsid w:val="184F57BA"/>
    <w:rsid w:val="18A60DE5"/>
    <w:rsid w:val="18DE057F"/>
    <w:rsid w:val="19267830"/>
    <w:rsid w:val="192B3098"/>
    <w:rsid w:val="19341F4D"/>
    <w:rsid w:val="196A1E12"/>
    <w:rsid w:val="19793E03"/>
    <w:rsid w:val="19831126"/>
    <w:rsid w:val="19BC2548"/>
    <w:rsid w:val="19BD0194"/>
    <w:rsid w:val="19CA465F"/>
    <w:rsid w:val="19D72D72"/>
    <w:rsid w:val="19ED659F"/>
    <w:rsid w:val="19EE0799"/>
    <w:rsid w:val="1A1254D5"/>
    <w:rsid w:val="1A255D39"/>
    <w:rsid w:val="1A27385F"/>
    <w:rsid w:val="1A55661F"/>
    <w:rsid w:val="1A862C7C"/>
    <w:rsid w:val="1A864A2A"/>
    <w:rsid w:val="1AA710D7"/>
    <w:rsid w:val="1AC13CB4"/>
    <w:rsid w:val="1AC75042"/>
    <w:rsid w:val="1ACB3920"/>
    <w:rsid w:val="1AF51BB0"/>
    <w:rsid w:val="1B184A03"/>
    <w:rsid w:val="1B4B7A22"/>
    <w:rsid w:val="1B520060"/>
    <w:rsid w:val="1B852F33"/>
    <w:rsid w:val="1B903686"/>
    <w:rsid w:val="1BA57132"/>
    <w:rsid w:val="1BAD5FE6"/>
    <w:rsid w:val="1BB6133F"/>
    <w:rsid w:val="1BDB0DA5"/>
    <w:rsid w:val="1BE91714"/>
    <w:rsid w:val="1C057BD0"/>
    <w:rsid w:val="1C112A19"/>
    <w:rsid w:val="1C177904"/>
    <w:rsid w:val="1C222CB7"/>
    <w:rsid w:val="1C730FDE"/>
    <w:rsid w:val="1C9571A6"/>
    <w:rsid w:val="1CA05B4B"/>
    <w:rsid w:val="1CD4055C"/>
    <w:rsid w:val="1D0F0BE7"/>
    <w:rsid w:val="1D1C13CD"/>
    <w:rsid w:val="1D383FD6"/>
    <w:rsid w:val="1D4806BC"/>
    <w:rsid w:val="1E150A33"/>
    <w:rsid w:val="1E271368"/>
    <w:rsid w:val="1E2754DF"/>
    <w:rsid w:val="1E4A5D6E"/>
    <w:rsid w:val="1EAD1FE0"/>
    <w:rsid w:val="1EBF050A"/>
    <w:rsid w:val="1EBF49AE"/>
    <w:rsid w:val="1F0423C1"/>
    <w:rsid w:val="1F3B76DF"/>
    <w:rsid w:val="1F43738D"/>
    <w:rsid w:val="1F4629DA"/>
    <w:rsid w:val="1F5275D0"/>
    <w:rsid w:val="1F646B47"/>
    <w:rsid w:val="1F770DE5"/>
    <w:rsid w:val="1FEC076E"/>
    <w:rsid w:val="1FFC753C"/>
    <w:rsid w:val="200C3C23"/>
    <w:rsid w:val="201176A9"/>
    <w:rsid w:val="20142AD8"/>
    <w:rsid w:val="201715B2"/>
    <w:rsid w:val="2020322B"/>
    <w:rsid w:val="202F7912"/>
    <w:rsid w:val="203778E9"/>
    <w:rsid w:val="205729C5"/>
    <w:rsid w:val="20631369"/>
    <w:rsid w:val="20685E61"/>
    <w:rsid w:val="20713A86"/>
    <w:rsid w:val="207672EF"/>
    <w:rsid w:val="20795DD4"/>
    <w:rsid w:val="20EC0329"/>
    <w:rsid w:val="20EC75B1"/>
    <w:rsid w:val="21110DC5"/>
    <w:rsid w:val="213B5E42"/>
    <w:rsid w:val="21674E89"/>
    <w:rsid w:val="21856D68"/>
    <w:rsid w:val="219C2D85"/>
    <w:rsid w:val="21EF7359"/>
    <w:rsid w:val="21F229A5"/>
    <w:rsid w:val="223573AF"/>
    <w:rsid w:val="228E63B8"/>
    <w:rsid w:val="229879F0"/>
    <w:rsid w:val="22AC6FF8"/>
    <w:rsid w:val="22AF6AE8"/>
    <w:rsid w:val="22B83BEE"/>
    <w:rsid w:val="22CF718A"/>
    <w:rsid w:val="22D95913"/>
    <w:rsid w:val="22E5075C"/>
    <w:rsid w:val="22EE7610"/>
    <w:rsid w:val="230C5CE8"/>
    <w:rsid w:val="231352C9"/>
    <w:rsid w:val="23264FFC"/>
    <w:rsid w:val="23307C29"/>
    <w:rsid w:val="23566F63"/>
    <w:rsid w:val="23582CDC"/>
    <w:rsid w:val="23757D31"/>
    <w:rsid w:val="23897339"/>
    <w:rsid w:val="23C40371"/>
    <w:rsid w:val="23C6233B"/>
    <w:rsid w:val="23CB2CC8"/>
    <w:rsid w:val="240B2444"/>
    <w:rsid w:val="2419690F"/>
    <w:rsid w:val="244B3216"/>
    <w:rsid w:val="24836BF3"/>
    <w:rsid w:val="24B71C84"/>
    <w:rsid w:val="24EA2059"/>
    <w:rsid w:val="24EF141E"/>
    <w:rsid w:val="24FB7DC2"/>
    <w:rsid w:val="24FD1D8D"/>
    <w:rsid w:val="24FD3B3B"/>
    <w:rsid w:val="24FF1576"/>
    <w:rsid w:val="25331C52"/>
    <w:rsid w:val="25407ECB"/>
    <w:rsid w:val="254B70B5"/>
    <w:rsid w:val="255045B2"/>
    <w:rsid w:val="255B4D05"/>
    <w:rsid w:val="257007B0"/>
    <w:rsid w:val="258204E4"/>
    <w:rsid w:val="25875AFA"/>
    <w:rsid w:val="25C27580"/>
    <w:rsid w:val="25C32FD6"/>
    <w:rsid w:val="26317E33"/>
    <w:rsid w:val="26551754"/>
    <w:rsid w:val="265A320F"/>
    <w:rsid w:val="265E2CFF"/>
    <w:rsid w:val="269E30FB"/>
    <w:rsid w:val="26A5092E"/>
    <w:rsid w:val="26A5600A"/>
    <w:rsid w:val="26A60202"/>
    <w:rsid w:val="26C50688"/>
    <w:rsid w:val="26D11723"/>
    <w:rsid w:val="26D41305"/>
    <w:rsid w:val="27076EF2"/>
    <w:rsid w:val="2758774E"/>
    <w:rsid w:val="276A122F"/>
    <w:rsid w:val="277B51EB"/>
    <w:rsid w:val="27AA5AD0"/>
    <w:rsid w:val="27C70430"/>
    <w:rsid w:val="27DC037F"/>
    <w:rsid w:val="280E605F"/>
    <w:rsid w:val="2815563F"/>
    <w:rsid w:val="28904CC6"/>
    <w:rsid w:val="28C8445F"/>
    <w:rsid w:val="28CD5F1A"/>
    <w:rsid w:val="28DA5593"/>
    <w:rsid w:val="28FB4835"/>
    <w:rsid w:val="2916341D"/>
    <w:rsid w:val="29910CF5"/>
    <w:rsid w:val="29916F47"/>
    <w:rsid w:val="299B1B74"/>
    <w:rsid w:val="29B277F5"/>
    <w:rsid w:val="29C42F93"/>
    <w:rsid w:val="29CE019B"/>
    <w:rsid w:val="29EE0E92"/>
    <w:rsid w:val="2A0E2346"/>
    <w:rsid w:val="2A1536D4"/>
    <w:rsid w:val="2A2B2EF8"/>
    <w:rsid w:val="2A5063FA"/>
    <w:rsid w:val="2A87137B"/>
    <w:rsid w:val="2AF4778E"/>
    <w:rsid w:val="2B12230A"/>
    <w:rsid w:val="2B3202B6"/>
    <w:rsid w:val="2B3C2EE3"/>
    <w:rsid w:val="2B747456"/>
    <w:rsid w:val="2B9D609C"/>
    <w:rsid w:val="2BAA2542"/>
    <w:rsid w:val="2BE07D12"/>
    <w:rsid w:val="2BE710A1"/>
    <w:rsid w:val="2C0C79D5"/>
    <w:rsid w:val="2C1300E8"/>
    <w:rsid w:val="2C131E96"/>
    <w:rsid w:val="2C1D2D14"/>
    <w:rsid w:val="2C2C73FB"/>
    <w:rsid w:val="2C3C763E"/>
    <w:rsid w:val="2C5030EA"/>
    <w:rsid w:val="2C552E6B"/>
    <w:rsid w:val="2C8132A3"/>
    <w:rsid w:val="2C9C273B"/>
    <w:rsid w:val="2C9F5E1F"/>
    <w:rsid w:val="2CBE62A5"/>
    <w:rsid w:val="2CC43190"/>
    <w:rsid w:val="2CEA709A"/>
    <w:rsid w:val="2D391DD0"/>
    <w:rsid w:val="2D510EC7"/>
    <w:rsid w:val="2D5C161A"/>
    <w:rsid w:val="2D6D3827"/>
    <w:rsid w:val="2D744BB6"/>
    <w:rsid w:val="2D7A7BAB"/>
    <w:rsid w:val="2DA60AE7"/>
    <w:rsid w:val="2DAA05D8"/>
    <w:rsid w:val="2DAE2719"/>
    <w:rsid w:val="2E055FFA"/>
    <w:rsid w:val="2E27171A"/>
    <w:rsid w:val="2E6609A2"/>
    <w:rsid w:val="2E89643F"/>
    <w:rsid w:val="2EA65099"/>
    <w:rsid w:val="2EDE2C2F"/>
    <w:rsid w:val="2EEB70FA"/>
    <w:rsid w:val="2F4744A7"/>
    <w:rsid w:val="2F546A4D"/>
    <w:rsid w:val="2F5D7D41"/>
    <w:rsid w:val="2F862062"/>
    <w:rsid w:val="2FAD1DFD"/>
    <w:rsid w:val="2FD41817"/>
    <w:rsid w:val="2FD53195"/>
    <w:rsid w:val="2FD656B4"/>
    <w:rsid w:val="2FE53B49"/>
    <w:rsid w:val="30450A8C"/>
    <w:rsid w:val="30A9101A"/>
    <w:rsid w:val="30BF439A"/>
    <w:rsid w:val="30E16A06"/>
    <w:rsid w:val="30FA3624"/>
    <w:rsid w:val="3106021B"/>
    <w:rsid w:val="31176150"/>
    <w:rsid w:val="312D57A8"/>
    <w:rsid w:val="312F7772"/>
    <w:rsid w:val="31717D8A"/>
    <w:rsid w:val="31A737AC"/>
    <w:rsid w:val="31AA504A"/>
    <w:rsid w:val="31CA1248"/>
    <w:rsid w:val="31CC3212"/>
    <w:rsid w:val="31D9148B"/>
    <w:rsid w:val="31E0281A"/>
    <w:rsid w:val="320A3D3B"/>
    <w:rsid w:val="321C75CA"/>
    <w:rsid w:val="32236BAB"/>
    <w:rsid w:val="325D20BC"/>
    <w:rsid w:val="32621481"/>
    <w:rsid w:val="3264344B"/>
    <w:rsid w:val="32755658"/>
    <w:rsid w:val="32B4641F"/>
    <w:rsid w:val="32C0264B"/>
    <w:rsid w:val="32EB20F1"/>
    <w:rsid w:val="33105381"/>
    <w:rsid w:val="331423DB"/>
    <w:rsid w:val="3350577D"/>
    <w:rsid w:val="33576347"/>
    <w:rsid w:val="335F2223"/>
    <w:rsid w:val="33CA3782"/>
    <w:rsid w:val="33E701B5"/>
    <w:rsid w:val="33FE167D"/>
    <w:rsid w:val="340A0022"/>
    <w:rsid w:val="340B78F6"/>
    <w:rsid w:val="344572AC"/>
    <w:rsid w:val="3474193F"/>
    <w:rsid w:val="34967B08"/>
    <w:rsid w:val="34A044E2"/>
    <w:rsid w:val="34A40D5D"/>
    <w:rsid w:val="34BB131C"/>
    <w:rsid w:val="34C53F49"/>
    <w:rsid w:val="34EC3BCC"/>
    <w:rsid w:val="357A05CB"/>
    <w:rsid w:val="35C97A69"/>
    <w:rsid w:val="35E054DE"/>
    <w:rsid w:val="35F40F8A"/>
    <w:rsid w:val="35F965A0"/>
    <w:rsid w:val="36015455"/>
    <w:rsid w:val="363D46DF"/>
    <w:rsid w:val="365732C7"/>
    <w:rsid w:val="366A2FFA"/>
    <w:rsid w:val="3676374D"/>
    <w:rsid w:val="36A52284"/>
    <w:rsid w:val="36B424C7"/>
    <w:rsid w:val="36C344B8"/>
    <w:rsid w:val="36FF03C7"/>
    <w:rsid w:val="37144D14"/>
    <w:rsid w:val="37270EEB"/>
    <w:rsid w:val="372F1B4E"/>
    <w:rsid w:val="37441A9D"/>
    <w:rsid w:val="37797999"/>
    <w:rsid w:val="378400EB"/>
    <w:rsid w:val="37C93D50"/>
    <w:rsid w:val="37CD55EE"/>
    <w:rsid w:val="37D44BCF"/>
    <w:rsid w:val="37E56DDC"/>
    <w:rsid w:val="37EB1F18"/>
    <w:rsid w:val="37FF7772"/>
    <w:rsid w:val="381551E7"/>
    <w:rsid w:val="389B56ED"/>
    <w:rsid w:val="38EA0422"/>
    <w:rsid w:val="39065067"/>
    <w:rsid w:val="39184F8F"/>
    <w:rsid w:val="392C0A3B"/>
    <w:rsid w:val="39324335"/>
    <w:rsid w:val="39477622"/>
    <w:rsid w:val="396046AE"/>
    <w:rsid w:val="397D3044"/>
    <w:rsid w:val="39B76556"/>
    <w:rsid w:val="39BD78E5"/>
    <w:rsid w:val="39C42A21"/>
    <w:rsid w:val="39E15381"/>
    <w:rsid w:val="39F72DF7"/>
    <w:rsid w:val="3A06303A"/>
    <w:rsid w:val="3A080B60"/>
    <w:rsid w:val="3A483652"/>
    <w:rsid w:val="3A7461F5"/>
    <w:rsid w:val="3A7E0E22"/>
    <w:rsid w:val="3AAC1E33"/>
    <w:rsid w:val="3AE55345"/>
    <w:rsid w:val="3B3140E6"/>
    <w:rsid w:val="3B9E4F5D"/>
    <w:rsid w:val="3BF55114"/>
    <w:rsid w:val="3C0A7E90"/>
    <w:rsid w:val="3CA628B2"/>
    <w:rsid w:val="3CCE6CC3"/>
    <w:rsid w:val="3CD25455"/>
    <w:rsid w:val="3CDB07AE"/>
    <w:rsid w:val="3CE66825"/>
    <w:rsid w:val="3CFE449C"/>
    <w:rsid w:val="3D073351"/>
    <w:rsid w:val="3D0C2F35"/>
    <w:rsid w:val="3D51409C"/>
    <w:rsid w:val="3D5440BC"/>
    <w:rsid w:val="3D6E1622"/>
    <w:rsid w:val="3D913562"/>
    <w:rsid w:val="3DA07301"/>
    <w:rsid w:val="3DA6700D"/>
    <w:rsid w:val="3DA70690"/>
    <w:rsid w:val="3DCB5AB8"/>
    <w:rsid w:val="3DEFF7DB"/>
    <w:rsid w:val="3E067AAC"/>
    <w:rsid w:val="3E1321C9"/>
    <w:rsid w:val="3EA51073"/>
    <w:rsid w:val="3EBF687C"/>
    <w:rsid w:val="3F4343E8"/>
    <w:rsid w:val="3F5575F7"/>
    <w:rsid w:val="3F6F0534"/>
    <w:rsid w:val="3F850EA5"/>
    <w:rsid w:val="3F8E5FAB"/>
    <w:rsid w:val="3FB275D9"/>
    <w:rsid w:val="3FDB7654"/>
    <w:rsid w:val="40153FD6"/>
    <w:rsid w:val="402B37FA"/>
    <w:rsid w:val="40307062"/>
    <w:rsid w:val="40714F85"/>
    <w:rsid w:val="40784565"/>
    <w:rsid w:val="40860A30"/>
    <w:rsid w:val="409749EB"/>
    <w:rsid w:val="41032081"/>
    <w:rsid w:val="41115290"/>
    <w:rsid w:val="4132090C"/>
    <w:rsid w:val="413B7A6D"/>
    <w:rsid w:val="41562AF9"/>
    <w:rsid w:val="415A31C5"/>
    <w:rsid w:val="41720FB5"/>
    <w:rsid w:val="418331C2"/>
    <w:rsid w:val="41B6005B"/>
    <w:rsid w:val="41E57B4F"/>
    <w:rsid w:val="41E952A1"/>
    <w:rsid w:val="41F32F91"/>
    <w:rsid w:val="4216717B"/>
    <w:rsid w:val="421B33FA"/>
    <w:rsid w:val="427D40B5"/>
    <w:rsid w:val="428471F1"/>
    <w:rsid w:val="4286740D"/>
    <w:rsid w:val="42925DB2"/>
    <w:rsid w:val="42975177"/>
    <w:rsid w:val="42A6360C"/>
    <w:rsid w:val="42B555FD"/>
    <w:rsid w:val="42D206F2"/>
    <w:rsid w:val="42EF6D61"/>
    <w:rsid w:val="42F425C9"/>
    <w:rsid w:val="42F86180"/>
    <w:rsid w:val="43170066"/>
    <w:rsid w:val="43907F88"/>
    <w:rsid w:val="43A35D9D"/>
    <w:rsid w:val="43DE2931"/>
    <w:rsid w:val="43E268C5"/>
    <w:rsid w:val="43E53CC0"/>
    <w:rsid w:val="44380293"/>
    <w:rsid w:val="44421112"/>
    <w:rsid w:val="44476729"/>
    <w:rsid w:val="447A4D50"/>
    <w:rsid w:val="447C0AC8"/>
    <w:rsid w:val="44901E7E"/>
    <w:rsid w:val="44A26055"/>
    <w:rsid w:val="44A27E03"/>
    <w:rsid w:val="44BA514C"/>
    <w:rsid w:val="44DD0E3B"/>
    <w:rsid w:val="4568104C"/>
    <w:rsid w:val="457C4F0E"/>
    <w:rsid w:val="45A35BE1"/>
    <w:rsid w:val="45AC0F39"/>
    <w:rsid w:val="45EC57D9"/>
    <w:rsid w:val="45F72659"/>
    <w:rsid w:val="460615EF"/>
    <w:rsid w:val="46184820"/>
    <w:rsid w:val="46207231"/>
    <w:rsid w:val="465B237E"/>
    <w:rsid w:val="46761547"/>
    <w:rsid w:val="46B502C1"/>
    <w:rsid w:val="4755115C"/>
    <w:rsid w:val="47613FA5"/>
    <w:rsid w:val="47675D33"/>
    <w:rsid w:val="47AB6FCE"/>
    <w:rsid w:val="47B24801"/>
    <w:rsid w:val="47C56070"/>
    <w:rsid w:val="48111527"/>
    <w:rsid w:val="481C1C7A"/>
    <w:rsid w:val="48367A89"/>
    <w:rsid w:val="48621D83"/>
    <w:rsid w:val="48710218"/>
    <w:rsid w:val="4884619D"/>
    <w:rsid w:val="48912EFC"/>
    <w:rsid w:val="48FD7CFE"/>
    <w:rsid w:val="49066BB2"/>
    <w:rsid w:val="490E3CB9"/>
    <w:rsid w:val="492434DC"/>
    <w:rsid w:val="492B03C7"/>
    <w:rsid w:val="49751A5E"/>
    <w:rsid w:val="49A85EBB"/>
    <w:rsid w:val="49E54A1A"/>
    <w:rsid w:val="49F57666"/>
    <w:rsid w:val="4A203CA4"/>
    <w:rsid w:val="4A317C5F"/>
    <w:rsid w:val="4A3C6604"/>
    <w:rsid w:val="4A4060F4"/>
    <w:rsid w:val="4A630034"/>
    <w:rsid w:val="4A652E04"/>
    <w:rsid w:val="4A6726BA"/>
    <w:rsid w:val="4A9401EE"/>
    <w:rsid w:val="4AFA62A3"/>
    <w:rsid w:val="4B49722A"/>
    <w:rsid w:val="4B94000C"/>
    <w:rsid w:val="4BB87F0C"/>
    <w:rsid w:val="4BC6087B"/>
    <w:rsid w:val="4C00513D"/>
    <w:rsid w:val="4C1C049B"/>
    <w:rsid w:val="4C2C4B82"/>
    <w:rsid w:val="4C373527"/>
    <w:rsid w:val="4C481290"/>
    <w:rsid w:val="4C4D78B8"/>
    <w:rsid w:val="4C612351"/>
    <w:rsid w:val="4C6B4F7E"/>
    <w:rsid w:val="4C714C8A"/>
    <w:rsid w:val="4CA50490"/>
    <w:rsid w:val="4CB535E7"/>
    <w:rsid w:val="4CBD0D73"/>
    <w:rsid w:val="4CD94E20"/>
    <w:rsid w:val="4CF60CEC"/>
    <w:rsid w:val="4CFB4554"/>
    <w:rsid w:val="4D13189E"/>
    <w:rsid w:val="4D387A3E"/>
    <w:rsid w:val="4D6640C3"/>
    <w:rsid w:val="4D9C1893"/>
    <w:rsid w:val="4DA82ACB"/>
    <w:rsid w:val="4DC62DB4"/>
    <w:rsid w:val="4DE80F7C"/>
    <w:rsid w:val="4E19322E"/>
    <w:rsid w:val="4E231FB4"/>
    <w:rsid w:val="4E7967A9"/>
    <w:rsid w:val="4E7C3473"/>
    <w:rsid w:val="4E8A2033"/>
    <w:rsid w:val="4EB86BA1"/>
    <w:rsid w:val="4EBE3A8B"/>
    <w:rsid w:val="4ED908C5"/>
    <w:rsid w:val="4F2002A2"/>
    <w:rsid w:val="4F6C34E7"/>
    <w:rsid w:val="4F8D1DDB"/>
    <w:rsid w:val="4FA252B3"/>
    <w:rsid w:val="4FC95E2F"/>
    <w:rsid w:val="4FD80B7D"/>
    <w:rsid w:val="4FE47521"/>
    <w:rsid w:val="4FFF435B"/>
    <w:rsid w:val="501A1195"/>
    <w:rsid w:val="501A2F43"/>
    <w:rsid w:val="501E2A33"/>
    <w:rsid w:val="50296EBC"/>
    <w:rsid w:val="50357D7D"/>
    <w:rsid w:val="504F7091"/>
    <w:rsid w:val="50936F77"/>
    <w:rsid w:val="50C17863"/>
    <w:rsid w:val="50CA2BBB"/>
    <w:rsid w:val="50CA6717"/>
    <w:rsid w:val="50D41344"/>
    <w:rsid w:val="50E53551"/>
    <w:rsid w:val="50E579F5"/>
    <w:rsid w:val="50FE4613"/>
    <w:rsid w:val="51257DF2"/>
    <w:rsid w:val="516E79EA"/>
    <w:rsid w:val="51705511"/>
    <w:rsid w:val="517F5754"/>
    <w:rsid w:val="51B03B5F"/>
    <w:rsid w:val="51FC4FF6"/>
    <w:rsid w:val="52036385"/>
    <w:rsid w:val="52097713"/>
    <w:rsid w:val="521A722A"/>
    <w:rsid w:val="526B5CD8"/>
    <w:rsid w:val="527F3531"/>
    <w:rsid w:val="52B94C95"/>
    <w:rsid w:val="52BA233C"/>
    <w:rsid w:val="52BF7DD2"/>
    <w:rsid w:val="52E53CDC"/>
    <w:rsid w:val="52ED2B91"/>
    <w:rsid w:val="52FB3500"/>
    <w:rsid w:val="53065A01"/>
    <w:rsid w:val="53193986"/>
    <w:rsid w:val="53226CDE"/>
    <w:rsid w:val="532A2681"/>
    <w:rsid w:val="5338205E"/>
    <w:rsid w:val="536015B5"/>
    <w:rsid w:val="53672943"/>
    <w:rsid w:val="5380560E"/>
    <w:rsid w:val="53C03E02"/>
    <w:rsid w:val="53CC09F8"/>
    <w:rsid w:val="53CE651E"/>
    <w:rsid w:val="53DF24DA"/>
    <w:rsid w:val="53E75832"/>
    <w:rsid w:val="54183C3E"/>
    <w:rsid w:val="5479292E"/>
    <w:rsid w:val="547C5EAA"/>
    <w:rsid w:val="54977258"/>
    <w:rsid w:val="54B8589B"/>
    <w:rsid w:val="55031F07"/>
    <w:rsid w:val="55180399"/>
    <w:rsid w:val="553E76D4"/>
    <w:rsid w:val="55517407"/>
    <w:rsid w:val="5563538C"/>
    <w:rsid w:val="55A82D9F"/>
    <w:rsid w:val="55D63DB0"/>
    <w:rsid w:val="55E738C7"/>
    <w:rsid w:val="55F253A0"/>
    <w:rsid w:val="563C1D5E"/>
    <w:rsid w:val="56701B0F"/>
    <w:rsid w:val="5697709C"/>
    <w:rsid w:val="56A25A40"/>
    <w:rsid w:val="56A63783"/>
    <w:rsid w:val="56A874FB"/>
    <w:rsid w:val="56CB3A71"/>
    <w:rsid w:val="570A1F63"/>
    <w:rsid w:val="570D735E"/>
    <w:rsid w:val="57212E09"/>
    <w:rsid w:val="575D6537"/>
    <w:rsid w:val="57853398"/>
    <w:rsid w:val="5797131D"/>
    <w:rsid w:val="57DA7B88"/>
    <w:rsid w:val="57E26A3C"/>
    <w:rsid w:val="58020E8D"/>
    <w:rsid w:val="5806097D"/>
    <w:rsid w:val="581C4682"/>
    <w:rsid w:val="581C599D"/>
    <w:rsid w:val="581F37ED"/>
    <w:rsid w:val="58382DE5"/>
    <w:rsid w:val="583D0117"/>
    <w:rsid w:val="583F3E8F"/>
    <w:rsid w:val="587F6039"/>
    <w:rsid w:val="588673C8"/>
    <w:rsid w:val="58AD704A"/>
    <w:rsid w:val="58DF4D2A"/>
    <w:rsid w:val="58E10AA2"/>
    <w:rsid w:val="590824D3"/>
    <w:rsid w:val="590B5B1F"/>
    <w:rsid w:val="591E5852"/>
    <w:rsid w:val="59317A63"/>
    <w:rsid w:val="5934151A"/>
    <w:rsid w:val="5943350B"/>
    <w:rsid w:val="594B23BF"/>
    <w:rsid w:val="598F6750"/>
    <w:rsid w:val="599D78C4"/>
    <w:rsid w:val="59B447B9"/>
    <w:rsid w:val="59E56370"/>
    <w:rsid w:val="5A07278A"/>
    <w:rsid w:val="5A3410A5"/>
    <w:rsid w:val="5A53777D"/>
    <w:rsid w:val="5A731BCE"/>
    <w:rsid w:val="5A867B53"/>
    <w:rsid w:val="5A8E6A07"/>
    <w:rsid w:val="5A9A35FE"/>
    <w:rsid w:val="5AAE2C06"/>
    <w:rsid w:val="5B184080"/>
    <w:rsid w:val="5B323837"/>
    <w:rsid w:val="5B4A6DD2"/>
    <w:rsid w:val="5B594184"/>
    <w:rsid w:val="5B5C6B06"/>
    <w:rsid w:val="5B7C0F56"/>
    <w:rsid w:val="5B863B83"/>
    <w:rsid w:val="5BA364E3"/>
    <w:rsid w:val="5BAFE684"/>
    <w:rsid w:val="5BCA3A6F"/>
    <w:rsid w:val="5C0E2225"/>
    <w:rsid w:val="5C1B042B"/>
    <w:rsid w:val="5C201030"/>
    <w:rsid w:val="5C4F0418"/>
    <w:rsid w:val="5C734107"/>
    <w:rsid w:val="5CD1707F"/>
    <w:rsid w:val="5CDB4480"/>
    <w:rsid w:val="5CE60D7D"/>
    <w:rsid w:val="5D07484F"/>
    <w:rsid w:val="5D2E002E"/>
    <w:rsid w:val="5D3259F5"/>
    <w:rsid w:val="5D417D61"/>
    <w:rsid w:val="5D4D6706"/>
    <w:rsid w:val="5D577585"/>
    <w:rsid w:val="5D9702C9"/>
    <w:rsid w:val="5DB524FD"/>
    <w:rsid w:val="5E1455B4"/>
    <w:rsid w:val="5E3C677A"/>
    <w:rsid w:val="5E413D91"/>
    <w:rsid w:val="5E4C2E61"/>
    <w:rsid w:val="5E59732C"/>
    <w:rsid w:val="5E6D7DC1"/>
    <w:rsid w:val="5E736640"/>
    <w:rsid w:val="5E744166"/>
    <w:rsid w:val="5E766130"/>
    <w:rsid w:val="5E7B54F5"/>
    <w:rsid w:val="5E8A5738"/>
    <w:rsid w:val="5EC7698C"/>
    <w:rsid w:val="5EC96260"/>
    <w:rsid w:val="5F05E5D5"/>
    <w:rsid w:val="5F28567D"/>
    <w:rsid w:val="5F3C1128"/>
    <w:rsid w:val="5F5C0E82"/>
    <w:rsid w:val="5F5E109E"/>
    <w:rsid w:val="5F661D01"/>
    <w:rsid w:val="5F667F53"/>
    <w:rsid w:val="5F742670"/>
    <w:rsid w:val="5F84662B"/>
    <w:rsid w:val="5FA8056B"/>
    <w:rsid w:val="5FAB1E0A"/>
    <w:rsid w:val="5FC5111D"/>
    <w:rsid w:val="5FFC4413"/>
    <w:rsid w:val="600B4656"/>
    <w:rsid w:val="6028345A"/>
    <w:rsid w:val="60341DFF"/>
    <w:rsid w:val="60651FB9"/>
    <w:rsid w:val="60792ED3"/>
    <w:rsid w:val="609603C4"/>
    <w:rsid w:val="60AA3E6F"/>
    <w:rsid w:val="60C90799"/>
    <w:rsid w:val="61306A6A"/>
    <w:rsid w:val="6155202D"/>
    <w:rsid w:val="6175447D"/>
    <w:rsid w:val="617A7CE6"/>
    <w:rsid w:val="617F70AA"/>
    <w:rsid w:val="61826B9A"/>
    <w:rsid w:val="61932B55"/>
    <w:rsid w:val="61B431F8"/>
    <w:rsid w:val="61CB6793"/>
    <w:rsid w:val="622814F0"/>
    <w:rsid w:val="623065F6"/>
    <w:rsid w:val="62886432"/>
    <w:rsid w:val="629152E7"/>
    <w:rsid w:val="629E17B2"/>
    <w:rsid w:val="62B965EC"/>
    <w:rsid w:val="62BB2364"/>
    <w:rsid w:val="62F13FD7"/>
    <w:rsid w:val="62FB30A8"/>
    <w:rsid w:val="62FF66F4"/>
    <w:rsid w:val="6329551F"/>
    <w:rsid w:val="63312626"/>
    <w:rsid w:val="633B5253"/>
    <w:rsid w:val="633F4D43"/>
    <w:rsid w:val="63400ABB"/>
    <w:rsid w:val="634E142A"/>
    <w:rsid w:val="63AB2BB6"/>
    <w:rsid w:val="63E458EA"/>
    <w:rsid w:val="63F20007"/>
    <w:rsid w:val="64060EA6"/>
    <w:rsid w:val="64294B00"/>
    <w:rsid w:val="642D7291"/>
    <w:rsid w:val="64552344"/>
    <w:rsid w:val="645A795A"/>
    <w:rsid w:val="645D1674"/>
    <w:rsid w:val="64601415"/>
    <w:rsid w:val="64AF4728"/>
    <w:rsid w:val="64F658D5"/>
    <w:rsid w:val="6502071E"/>
    <w:rsid w:val="6518584B"/>
    <w:rsid w:val="65202952"/>
    <w:rsid w:val="653528A1"/>
    <w:rsid w:val="6535464F"/>
    <w:rsid w:val="656D0010"/>
    <w:rsid w:val="65705687"/>
    <w:rsid w:val="658904F7"/>
    <w:rsid w:val="65B70F00"/>
    <w:rsid w:val="65C23A09"/>
    <w:rsid w:val="65DD0843"/>
    <w:rsid w:val="65F91B21"/>
    <w:rsid w:val="663F0B50"/>
    <w:rsid w:val="66456B14"/>
    <w:rsid w:val="6646463A"/>
    <w:rsid w:val="66546D57"/>
    <w:rsid w:val="6660394E"/>
    <w:rsid w:val="66682803"/>
    <w:rsid w:val="667F053B"/>
    <w:rsid w:val="66A11AEE"/>
    <w:rsid w:val="66C20165"/>
    <w:rsid w:val="670F7122"/>
    <w:rsid w:val="672030DD"/>
    <w:rsid w:val="674072DB"/>
    <w:rsid w:val="674E7C4A"/>
    <w:rsid w:val="674F2F0C"/>
    <w:rsid w:val="676A6106"/>
    <w:rsid w:val="67780823"/>
    <w:rsid w:val="67D27C62"/>
    <w:rsid w:val="67E40830"/>
    <w:rsid w:val="67F87BB6"/>
    <w:rsid w:val="68646FFA"/>
    <w:rsid w:val="687F3E33"/>
    <w:rsid w:val="68953657"/>
    <w:rsid w:val="68B23E31"/>
    <w:rsid w:val="68C1269E"/>
    <w:rsid w:val="68CE0D2F"/>
    <w:rsid w:val="68FB170C"/>
    <w:rsid w:val="69012A9A"/>
    <w:rsid w:val="69644B75"/>
    <w:rsid w:val="696A6892"/>
    <w:rsid w:val="69731BEA"/>
    <w:rsid w:val="6A2829D5"/>
    <w:rsid w:val="6A554E4C"/>
    <w:rsid w:val="6A6908F7"/>
    <w:rsid w:val="6A885221"/>
    <w:rsid w:val="6AE368FC"/>
    <w:rsid w:val="6B0F76F1"/>
    <w:rsid w:val="6B19056F"/>
    <w:rsid w:val="6B4D0219"/>
    <w:rsid w:val="6B760AC5"/>
    <w:rsid w:val="6B7632CC"/>
    <w:rsid w:val="6B8332A6"/>
    <w:rsid w:val="6B99520C"/>
    <w:rsid w:val="6BA53BB1"/>
    <w:rsid w:val="6C0703C8"/>
    <w:rsid w:val="6C0F54CE"/>
    <w:rsid w:val="6C3867D3"/>
    <w:rsid w:val="6C467142"/>
    <w:rsid w:val="6C663340"/>
    <w:rsid w:val="6C9003BD"/>
    <w:rsid w:val="6C9D2ADA"/>
    <w:rsid w:val="6CA16D2F"/>
    <w:rsid w:val="6CA81CE4"/>
    <w:rsid w:val="6CB73B9C"/>
    <w:rsid w:val="6CD01102"/>
    <w:rsid w:val="6CD56718"/>
    <w:rsid w:val="6CED3A62"/>
    <w:rsid w:val="6D1A237D"/>
    <w:rsid w:val="6D667370"/>
    <w:rsid w:val="6D761CA9"/>
    <w:rsid w:val="6D7E290C"/>
    <w:rsid w:val="6DAD4221"/>
    <w:rsid w:val="6DAE1443"/>
    <w:rsid w:val="6DBB76BC"/>
    <w:rsid w:val="6DCA78FF"/>
    <w:rsid w:val="6DEC1AE6"/>
    <w:rsid w:val="6DFB5D0A"/>
    <w:rsid w:val="6E3D27C7"/>
    <w:rsid w:val="6E7A55E5"/>
    <w:rsid w:val="6E7E699B"/>
    <w:rsid w:val="6E8B3532"/>
    <w:rsid w:val="6EAB14DE"/>
    <w:rsid w:val="6EC802E2"/>
    <w:rsid w:val="6EEF1D13"/>
    <w:rsid w:val="6EF03395"/>
    <w:rsid w:val="6F050034"/>
    <w:rsid w:val="6F2C7EF4"/>
    <w:rsid w:val="6F59718C"/>
    <w:rsid w:val="6F6A3B50"/>
    <w:rsid w:val="6F742218"/>
    <w:rsid w:val="6F7B35A7"/>
    <w:rsid w:val="6F9DF734"/>
    <w:rsid w:val="6FAB550E"/>
    <w:rsid w:val="6FCD1928"/>
    <w:rsid w:val="6FFD220E"/>
    <w:rsid w:val="702A28D7"/>
    <w:rsid w:val="70311EB7"/>
    <w:rsid w:val="7060454A"/>
    <w:rsid w:val="707A1AB0"/>
    <w:rsid w:val="707B1384"/>
    <w:rsid w:val="707B75D6"/>
    <w:rsid w:val="70BC5C25"/>
    <w:rsid w:val="70FA04FB"/>
    <w:rsid w:val="70FF1FB5"/>
    <w:rsid w:val="71025602"/>
    <w:rsid w:val="710D46D2"/>
    <w:rsid w:val="714874B8"/>
    <w:rsid w:val="717464FF"/>
    <w:rsid w:val="717C7162"/>
    <w:rsid w:val="718129CA"/>
    <w:rsid w:val="7185134D"/>
    <w:rsid w:val="719E4475"/>
    <w:rsid w:val="71A1306D"/>
    <w:rsid w:val="71A30B93"/>
    <w:rsid w:val="71D21478"/>
    <w:rsid w:val="7238752D"/>
    <w:rsid w:val="724834E8"/>
    <w:rsid w:val="725325B9"/>
    <w:rsid w:val="72723293"/>
    <w:rsid w:val="7284105E"/>
    <w:rsid w:val="729329B5"/>
    <w:rsid w:val="72B50B7E"/>
    <w:rsid w:val="72C214EC"/>
    <w:rsid w:val="72D54D7C"/>
    <w:rsid w:val="72FA2A34"/>
    <w:rsid w:val="73223D39"/>
    <w:rsid w:val="732B7092"/>
    <w:rsid w:val="732D4BB8"/>
    <w:rsid w:val="73410663"/>
    <w:rsid w:val="73AB1F81"/>
    <w:rsid w:val="73B928EF"/>
    <w:rsid w:val="73CF5C6F"/>
    <w:rsid w:val="73E444BF"/>
    <w:rsid w:val="74275AAB"/>
    <w:rsid w:val="742835D1"/>
    <w:rsid w:val="745D327B"/>
    <w:rsid w:val="747D1B6F"/>
    <w:rsid w:val="749E3893"/>
    <w:rsid w:val="74C3041D"/>
    <w:rsid w:val="74C50E20"/>
    <w:rsid w:val="74DD43BC"/>
    <w:rsid w:val="751637A7"/>
    <w:rsid w:val="754B57C9"/>
    <w:rsid w:val="757A4300"/>
    <w:rsid w:val="75B275F6"/>
    <w:rsid w:val="75D25EEA"/>
    <w:rsid w:val="75D4756D"/>
    <w:rsid w:val="760A11E0"/>
    <w:rsid w:val="760A60D6"/>
    <w:rsid w:val="760C5D87"/>
    <w:rsid w:val="76424E1E"/>
    <w:rsid w:val="767A306F"/>
    <w:rsid w:val="76E539FB"/>
    <w:rsid w:val="76F8173F"/>
    <w:rsid w:val="76FC2A0E"/>
    <w:rsid w:val="76FD0D45"/>
    <w:rsid w:val="7725204A"/>
    <w:rsid w:val="77364257"/>
    <w:rsid w:val="77530965"/>
    <w:rsid w:val="77626DFA"/>
    <w:rsid w:val="77844FC2"/>
    <w:rsid w:val="778B00FF"/>
    <w:rsid w:val="77976AA4"/>
    <w:rsid w:val="77D558AA"/>
    <w:rsid w:val="784F3822"/>
    <w:rsid w:val="785A5B03"/>
    <w:rsid w:val="785E1CB7"/>
    <w:rsid w:val="785E3A65"/>
    <w:rsid w:val="787D038F"/>
    <w:rsid w:val="78827754"/>
    <w:rsid w:val="789254BD"/>
    <w:rsid w:val="78AA6CAB"/>
    <w:rsid w:val="78C31CAF"/>
    <w:rsid w:val="794762A8"/>
    <w:rsid w:val="79780B57"/>
    <w:rsid w:val="79B3393D"/>
    <w:rsid w:val="79BA116F"/>
    <w:rsid w:val="79C79F38"/>
    <w:rsid w:val="79E41D48"/>
    <w:rsid w:val="79ED4B6B"/>
    <w:rsid w:val="7A146AD1"/>
    <w:rsid w:val="7A2D7B93"/>
    <w:rsid w:val="7A3507F6"/>
    <w:rsid w:val="7A4F18B8"/>
    <w:rsid w:val="7A6730A5"/>
    <w:rsid w:val="7A7EDF59"/>
    <w:rsid w:val="7A804167"/>
    <w:rsid w:val="7B1E128A"/>
    <w:rsid w:val="7B334D35"/>
    <w:rsid w:val="7B3F680F"/>
    <w:rsid w:val="7B683586"/>
    <w:rsid w:val="7B767318"/>
    <w:rsid w:val="7B7F7F7B"/>
    <w:rsid w:val="7B8E01BE"/>
    <w:rsid w:val="7B902188"/>
    <w:rsid w:val="7BBC11CF"/>
    <w:rsid w:val="7BC231C6"/>
    <w:rsid w:val="7BCB1412"/>
    <w:rsid w:val="7BD83B2F"/>
    <w:rsid w:val="7BDF310F"/>
    <w:rsid w:val="7C211032"/>
    <w:rsid w:val="7C224DAA"/>
    <w:rsid w:val="7C372603"/>
    <w:rsid w:val="7C4804F5"/>
    <w:rsid w:val="7C7E6251"/>
    <w:rsid w:val="7C8B0BA1"/>
    <w:rsid w:val="7C9712F4"/>
    <w:rsid w:val="7CA0464C"/>
    <w:rsid w:val="7D32101D"/>
    <w:rsid w:val="7D5D078F"/>
    <w:rsid w:val="7DED1B13"/>
    <w:rsid w:val="7DF82266"/>
    <w:rsid w:val="7DFC3B04"/>
    <w:rsid w:val="7E125364"/>
    <w:rsid w:val="7E130E4E"/>
    <w:rsid w:val="7E1D1CCD"/>
    <w:rsid w:val="7E2B263C"/>
    <w:rsid w:val="7E3F4F2E"/>
    <w:rsid w:val="7E8E6727"/>
    <w:rsid w:val="7E9D2879"/>
    <w:rsid w:val="7EAA3560"/>
    <w:rsid w:val="7EEA1BAF"/>
    <w:rsid w:val="7F0D3AEF"/>
    <w:rsid w:val="7F385010"/>
    <w:rsid w:val="7F427C3D"/>
    <w:rsid w:val="7F460DAF"/>
    <w:rsid w:val="7F604567"/>
    <w:rsid w:val="7F743B6E"/>
    <w:rsid w:val="7FA53D28"/>
    <w:rsid w:val="7FC00B62"/>
    <w:rsid w:val="7FD8234F"/>
    <w:rsid w:val="7FEA3E31"/>
    <w:rsid w:val="7FEA5BDF"/>
    <w:rsid w:val="B3FF3486"/>
    <w:rsid w:val="B9BC77AE"/>
    <w:rsid w:val="BC1173B6"/>
    <w:rsid w:val="BFFF1F3C"/>
    <w:rsid w:val="C3DF6DE8"/>
    <w:rsid w:val="DD6B5996"/>
    <w:rsid w:val="E17F8EC6"/>
    <w:rsid w:val="FE89E4EF"/>
    <w:rsid w:val="FEFFC085"/>
    <w:rsid w:val="FFAEB69F"/>
    <w:rsid w:val="FFFB1B4C"/>
    <w:rsid w:val="FFFFA86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qFormat="1" w:uiPriority="0" w:name="index 1"/>
    <w:lsdException w:uiPriority="99" w:name="index 2"/>
    <w:lsdException w:uiPriority="99" w:name="index 3"/>
    <w:lsdException w:uiPriority="99" w:name="index 4"/>
    <w:lsdException w:uiPriority="99" w:name="index 5"/>
    <w:lsdException w:uiPriority="99" w:name="index 6"/>
    <w:lsdException w:qFormat="1" w:uiPriority="0" w:semiHidden="0"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99" w:semiHidden="0" w:name="annotation text"/>
    <w:lsdException w:qFormat="1" w:uiPriority="0" w:semiHidden="0" w:name="header"/>
    <w:lsdException w:qFormat="1" w:uiPriority="0" w:semiHidden="0" w:name="footer"/>
    <w:lsdException w:qFormat="1" w:unhideWhenUsed="0" w:uiPriority="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qFormat="1" w:unhideWhenUsed="0" w:uiPriority="99" w:semiHidden="0" w:name="List 2"/>
    <w:lsdException w:uiPriority="99" w:name="List 3"/>
    <w:lsdException w:uiPriority="99" w:name="List 4"/>
    <w:lsdException w:uiPriority="99" w:name="List 5"/>
    <w:lsdException w:uiPriority="99" w:name="List Bullet 2"/>
    <w:lsdException w:uiPriority="99" w:name="List Bullet 3"/>
    <w:lsdException w:qFormat="1" w:unhideWhenUsed="0" w:uiPriority="99" w:semiHidden="0"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qFormat="1" w:uiPriority="0" w:name="Table Classic 1"/>
    <w:lsdException w:qFormat="1" w:uiPriority="0"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iPriority="0"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0" w:semiHidden="0" w:name="Table Grid"/>
    <w:lsdException w:qFormat="1"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eastAsia="仿宋" w:asciiTheme="minorHAnsi" w:hAnsiTheme="minorHAnsi" w:cstheme="minorBidi"/>
      <w:kern w:val="2"/>
      <w:sz w:val="24"/>
      <w:szCs w:val="22"/>
      <w:lang w:val="en-US" w:eastAsia="zh-CN" w:bidi="ar-SA"/>
    </w:rPr>
  </w:style>
  <w:style w:type="paragraph" w:styleId="4">
    <w:name w:val="heading 1"/>
    <w:basedOn w:val="1"/>
    <w:next w:val="1"/>
    <w:link w:val="36"/>
    <w:qFormat/>
    <w:uiPriority w:val="0"/>
    <w:pPr>
      <w:keepNext/>
      <w:keepLines/>
      <w:numPr>
        <w:ilvl w:val="0"/>
        <w:numId w:val="1"/>
      </w:numPr>
      <w:spacing w:before="480" w:after="80"/>
      <w:ind w:firstLineChars="0"/>
      <w:outlineLvl w:val="0"/>
    </w:pPr>
    <w:rPr>
      <w:rFonts w:asciiTheme="majorHAnsi" w:hAnsiTheme="majorHAnsi" w:cstheme="majorBidi"/>
      <w:b/>
      <w:sz w:val="36"/>
      <w:szCs w:val="48"/>
    </w:rPr>
  </w:style>
  <w:style w:type="paragraph" w:styleId="5">
    <w:name w:val="heading 2"/>
    <w:basedOn w:val="1"/>
    <w:next w:val="1"/>
    <w:link w:val="37"/>
    <w:unhideWhenUsed/>
    <w:qFormat/>
    <w:uiPriority w:val="0"/>
    <w:pPr>
      <w:keepNext/>
      <w:keepLines/>
      <w:numPr>
        <w:ilvl w:val="1"/>
        <w:numId w:val="1"/>
      </w:numPr>
      <w:spacing w:before="160" w:after="80"/>
      <w:ind w:firstLineChars="0"/>
      <w:outlineLvl w:val="1"/>
    </w:pPr>
    <w:rPr>
      <w:rFonts w:eastAsia="楷体" w:asciiTheme="majorAscii" w:hAnsiTheme="majorAscii" w:cstheme="majorBidi"/>
      <w:b/>
      <w:sz w:val="32"/>
      <w:szCs w:val="40"/>
    </w:rPr>
  </w:style>
  <w:style w:type="paragraph" w:styleId="6">
    <w:name w:val="heading 3"/>
    <w:basedOn w:val="1"/>
    <w:next w:val="1"/>
    <w:link w:val="38"/>
    <w:unhideWhenUsed/>
    <w:qFormat/>
    <w:uiPriority w:val="0"/>
    <w:pPr>
      <w:keepNext/>
      <w:keepLines/>
      <w:numPr>
        <w:ilvl w:val="2"/>
        <w:numId w:val="1"/>
      </w:numPr>
      <w:spacing w:before="160" w:after="80"/>
      <w:ind w:firstLineChars="0"/>
      <w:outlineLvl w:val="2"/>
    </w:pPr>
    <w:rPr>
      <w:rFonts w:asciiTheme="majorHAnsi" w:hAnsiTheme="majorHAnsi" w:cstheme="majorBidi"/>
      <w:b/>
      <w:sz w:val="28"/>
      <w:szCs w:val="32"/>
    </w:rPr>
  </w:style>
  <w:style w:type="paragraph" w:styleId="7">
    <w:name w:val="heading 4"/>
    <w:basedOn w:val="1"/>
    <w:next w:val="1"/>
    <w:link w:val="39"/>
    <w:unhideWhenUsed/>
    <w:qFormat/>
    <w:uiPriority w:val="0"/>
    <w:pPr>
      <w:keepNext/>
      <w:keepLines/>
      <w:numPr>
        <w:ilvl w:val="3"/>
        <w:numId w:val="1"/>
      </w:numPr>
      <w:spacing w:before="80" w:after="40"/>
      <w:ind w:firstLineChars="0"/>
      <w:outlineLvl w:val="3"/>
    </w:pPr>
    <w:rPr>
      <w:rFonts w:cstheme="majorBidi"/>
      <w:sz w:val="28"/>
      <w:szCs w:val="28"/>
    </w:rPr>
  </w:style>
  <w:style w:type="paragraph" w:styleId="8">
    <w:name w:val="heading 5"/>
    <w:basedOn w:val="1"/>
    <w:next w:val="1"/>
    <w:link w:val="40"/>
    <w:unhideWhenUsed/>
    <w:qFormat/>
    <w:uiPriority w:val="0"/>
    <w:pPr>
      <w:keepNext/>
      <w:keepLines/>
      <w:spacing w:before="80" w:after="40"/>
      <w:outlineLvl w:val="4"/>
    </w:pPr>
    <w:rPr>
      <w:rFonts w:cstheme="majorBidi"/>
      <w:color w:val="104862" w:themeColor="accent1" w:themeShade="BF"/>
      <w:szCs w:val="24"/>
    </w:rPr>
  </w:style>
  <w:style w:type="paragraph" w:styleId="9">
    <w:name w:val="heading 6"/>
    <w:basedOn w:val="1"/>
    <w:next w:val="1"/>
    <w:link w:val="41"/>
    <w:unhideWhenUsed/>
    <w:qFormat/>
    <w:uiPriority w:val="0"/>
    <w:pPr>
      <w:keepNext/>
      <w:keepLines/>
      <w:spacing w:before="40"/>
      <w:outlineLvl w:val="5"/>
    </w:pPr>
    <w:rPr>
      <w:rFonts w:cstheme="majorBidi"/>
      <w:b/>
      <w:bCs/>
      <w:color w:val="104862" w:themeColor="accent1" w:themeShade="BF"/>
    </w:rPr>
  </w:style>
  <w:style w:type="paragraph" w:styleId="10">
    <w:name w:val="heading 7"/>
    <w:basedOn w:val="1"/>
    <w:next w:val="1"/>
    <w:link w:val="42"/>
    <w:unhideWhenUsed/>
    <w:qFormat/>
    <w:uiPriority w:val="0"/>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1">
    <w:name w:val="heading 8"/>
    <w:basedOn w:val="1"/>
    <w:next w:val="1"/>
    <w:link w:val="43"/>
    <w:unhideWhenUsed/>
    <w:qFormat/>
    <w:uiPriority w:val="0"/>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2">
    <w:name w:val="heading 9"/>
    <w:basedOn w:val="1"/>
    <w:next w:val="1"/>
    <w:link w:val="44"/>
    <w:unhideWhenUsed/>
    <w:qFormat/>
    <w:uiPriority w:val="0"/>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customStyle="1" w:styleId="2">
    <w:name w:val="正文 + 宋体"/>
    <w:basedOn w:val="3"/>
    <w:qFormat/>
    <w:uiPriority w:val="0"/>
    <w:pPr>
      <w:ind w:firstLine="480"/>
    </w:pPr>
    <w:rPr>
      <w:rFonts w:ascii="宋体" w:hAnsi="宋体" w:cs="宋体"/>
    </w:rPr>
  </w:style>
  <w:style w:type="paragraph" w:styleId="3">
    <w:name w:val="Normal (Web)"/>
    <w:basedOn w:val="1"/>
    <w:qFormat/>
    <w:uiPriority w:val="0"/>
    <w:pPr>
      <w:spacing w:before="100" w:beforeAutospacing="1" w:after="100" w:afterAutospacing="1"/>
      <w:jc w:val="left"/>
    </w:pPr>
    <w:rPr>
      <w:rFonts w:cs="Times New Roman"/>
      <w:kern w:val="0"/>
    </w:rPr>
  </w:style>
  <w:style w:type="paragraph" w:styleId="13">
    <w:name w:val="toc 7"/>
    <w:basedOn w:val="1"/>
    <w:next w:val="1"/>
    <w:autoRedefine/>
    <w:unhideWhenUsed/>
    <w:qFormat/>
    <w:uiPriority w:val="39"/>
    <w:pPr>
      <w:spacing w:after="160" w:line="278" w:lineRule="auto"/>
      <w:ind w:left="2520" w:leftChars="1200" w:firstLine="0" w:firstLineChars="0"/>
      <w:jc w:val="left"/>
    </w:pPr>
    <w:rPr>
      <w:rFonts w:eastAsiaTheme="minorEastAsia"/>
      <w:sz w:val="22"/>
      <w:szCs w:val="24"/>
      <w14:ligatures w14:val="standardContextual"/>
    </w:rPr>
  </w:style>
  <w:style w:type="paragraph" w:styleId="14">
    <w:name w:val="caption"/>
    <w:basedOn w:val="1"/>
    <w:next w:val="1"/>
    <w:qFormat/>
    <w:uiPriority w:val="0"/>
    <w:rPr>
      <w:rFonts w:eastAsia="黑体" w:asciiTheme="majorHAnsi" w:hAnsiTheme="majorHAnsi" w:cstheme="majorBidi"/>
      <w:sz w:val="20"/>
      <w:szCs w:val="20"/>
    </w:rPr>
  </w:style>
  <w:style w:type="paragraph" w:styleId="15">
    <w:name w:val="annotation text"/>
    <w:basedOn w:val="1"/>
    <w:link w:val="32"/>
    <w:qFormat/>
    <w:uiPriority w:val="99"/>
    <w:pPr>
      <w:jc w:val="left"/>
    </w:pPr>
  </w:style>
  <w:style w:type="paragraph" w:styleId="16">
    <w:name w:val="toc 5"/>
    <w:basedOn w:val="1"/>
    <w:next w:val="1"/>
    <w:autoRedefine/>
    <w:unhideWhenUsed/>
    <w:qFormat/>
    <w:uiPriority w:val="39"/>
    <w:pPr>
      <w:spacing w:after="160" w:line="278" w:lineRule="auto"/>
      <w:ind w:left="1680" w:leftChars="800" w:firstLine="0" w:firstLineChars="0"/>
      <w:jc w:val="left"/>
    </w:pPr>
    <w:rPr>
      <w:rFonts w:eastAsiaTheme="minorEastAsia"/>
      <w:sz w:val="22"/>
      <w:szCs w:val="24"/>
      <w14:ligatures w14:val="standardContextual"/>
    </w:rPr>
  </w:style>
  <w:style w:type="paragraph" w:styleId="17">
    <w:name w:val="toc 3"/>
    <w:basedOn w:val="1"/>
    <w:next w:val="1"/>
    <w:autoRedefine/>
    <w:unhideWhenUsed/>
    <w:qFormat/>
    <w:uiPriority w:val="39"/>
    <w:pPr>
      <w:ind w:left="840" w:leftChars="400"/>
    </w:pPr>
  </w:style>
  <w:style w:type="paragraph" w:styleId="18">
    <w:name w:val="toc 8"/>
    <w:basedOn w:val="1"/>
    <w:next w:val="1"/>
    <w:autoRedefine/>
    <w:unhideWhenUsed/>
    <w:qFormat/>
    <w:uiPriority w:val="39"/>
    <w:pPr>
      <w:spacing w:after="160" w:line="278" w:lineRule="auto"/>
      <w:ind w:left="2940" w:leftChars="1400" w:firstLine="0" w:firstLineChars="0"/>
      <w:jc w:val="left"/>
    </w:pPr>
    <w:rPr>
      <w:rFonts w:eastAsiaTheme="minorEastAsia"/>
      <w:sz w:val="22"/>
      <w:szCs w:val="24"/>
      <w14:ligatures w14:val="standardContextual"/>
    </w:rPr>
  </w:style>
  <w:style w:type="paragraph" w:styleId="19">
    <w:name w:val="footer"/>
    <w:basedOn w:val="1"/>
    <w:link w:val="48"/>
    <w:unhideWhenUsed/>
    <w:qFormat/>
    <w:uiPriority w:val="0"/>
    <w:pPr>
      <w:tabs>
        <w:tab w:val="center" w:pos="4153"/>
        <w:tab w:val="right" w:pos="8306"/>
      </w:tabs>
      <w:snapToGrid w:val="0"/>
      <w:spacing w:line="240" w:lineRule="auto"/>
      <w:jc w:val="left"/>
    </w:pPr>
    <w:rPr>
      <w:sz w:val="18"/>
      <w:szCs w:val="18"/>
    </w:rPr>
  </w:style>
  <w:style w:type="paragraph" w:styleId="20">
    <w:name w:val="header"/>
    <w:basedOn w:val="1"/>
    <w:link w:val="50"/>
    <w:unhideWhenUsed/>
    <w:qFormat/>
    <w:uiPriority w:val="0"/>
    <w:pPr>
      <w:tabs>
        <w:tab w:val="center" w:pos="4153"/>
        <w:tab w:val="right" w:pos="8306"/>
      </w:tabs>
      <w:snapToGrid w:val="0"/>
      <w:spacing w:line="240" w:lineRule="auto"/>
      <w:jc w:val="center"/>
    </w:pPr>
    <w:rPr>
      <w:sz w:val="18"/>
      <w:szCs w:val="18"/>
    </w:rPr>
  </w:style>
  <w:style w:type="paragraph" w:styleId="21">
    <w:name w:val="toc 1"/>
    <w:basedOn w:val="1"/>
    <w:next w:val="1"/>
    <w:autoRedefine/>
    <w:unhideWhenUsed/>
    <w:qFormat/>
    <w:uiPriority w:val="39"/>
  </w:style>
  <w:style w:type="paragraph" w:styleId="22">
    <w:name w:val="toc 4"/>
    <w:basedOn w:val="1"/>
    <w:next w:val="1"/>
    <w:autoRedefine/>
    <w:unhideWhenUsed/>
    <w:qFormat/>
    <w:uiPriority w:val="39"/>
    <w:pPr>
      <w:spacing w:after="160" w:line="278" w:lineRule="auto"/>
      <w:ind w:left="1260" w:leftChars="600" w:firstLine="0" w:firstLineChars="0"/>
      <w:jc w:val="left"/>
    </w:pPr>
    <w:rPr>
      <w:rFonts w:eastAsiaTheme="minorEastAsia"/>
      <w:sz w:val="22"/>
      <w:szCs w:val="24"/>
      <w14:ligatures w14:val="standardContextual"/>
    </w:rPr>
  </w:style>
  <w:style w:type="paragraph" w:styleId="23">
    <w:name w:val="toc 6"/>
    <w:basedOn w:val="1"/>
    <w:next w:val="1"/>
    <w:autoRedefine/>
    <w:unhideWhenUsed/>
    <w:qFormat/>
    <w:uiPriority w:val="39"/>
    <w:pPr>
      <w:spacing w:after="160" w:line="278" w:lineRule="auto"/>
      <w:ind w:left="2100" w:leftChars="1000" w:firstLine="0" w:firstLineChars="0"/>
      <w:jc w:val="left"/>
    </w:pPr>
    <w:rPr>
      <w:rFonts w:eastAsiaTheme="minorEastAsia"/>
      <w:sz w:val="22"/>
      <w:szCs w:val="24"/>
      <w14:ligatures w14:val="standardContextual"/>
    </w:rPr>
  </w:style>
  <w:style w:type="paragraph" w:styleId="24">
    <w:name w:val="toc 2"/>
    <w:basedOn w:val="1"/>
    <w:next w:val="1"/>
    <w:autoRedefine/>
    <w:unhideWhenUsed/>
    <w:qFormat/>
    <w:uiPriority w:val="39"/>
    <w:pPr>
      <w:ind w:left="420" w:leftChars="200"/>
    </w:pPr>
  </w:style>
  <w:style w:type="paragraph" w:styleId="25">
    <w:name w:val="toc 9"/>
    <w:basedOn w:val="1"/>
    <w:next w:val="1"/>
    <w:autoRedefine/>
    <w:unhideWhenUsed/>
    <w:qFormat/>
    <w:uiPriority w:val="39"/>
    <w:pPr>
      <w:spacing w:after="160" w:line="278" w:lineRule="auto"/>
      <w:ind w:left="3360" w:leftChars="1600" w:firstLine="0" w:firstLineChars="0"/>
      <w:jc w:val="left"/>
    </w:pPr>
    <w:rPr>
      <w:rFonts w:eastAsiaTheme="minorEastAsia"/>
      <w:sz w:val="22"/>
      <w:szCs w:val="24"/>
      <w14:ligatures w14:val="standardContextual"/>
    </w:rPr>
  </w:style>
  <w:style w:type="paragraph" w:styleId="26">
    <w:name w:val="annotation subject"/>
    <w:basedOn w:val="15"/>
    <w:next w:val="15"/>
    <w:link w:val="33"/>
    <w:qFormat/>
    <w:uiPriority w:val="0"/>
    <w:rPr>
      <w:b/>
      <w:bCs/>
    </w:rPr>
  </w:style>
  <w:style w:type="table" w:styleId="28">
    <w:name w:val="Table Grid"/>
    <w:basedOn w:val="2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Hyperlink"/>
    <w:basedOn w:val="29"/>
    <w:unhideWhenUsed/>
    <w:qFormat/>
    <w:uiPriority w:val="99"/>
    <w:rPr>
      <w:color w:val="467886" w:themeColor="hyperlink"/>
      <w:u w:val="single"/>
      <w14:textFill>
        <w14:solidFill>
          <w14:schemeClr w14:val="hlink"/>
        </w14:solidFill>
      </w14:textFill>
    </w:rPr>
  </w:style>
  <w:style w:type="character" w:styleId="31">
    <w:name w:val="annotation reference"/>
    <w:basedOn w:val="29"/>
    <w:qFormat/>
    <w:uiPriority w:val="99"/>
    <w:rPr>
      <w:sz w:val="21"/>
      <w:szCs w:val="21"/>
    </w:rPr>
  </w:style>
  <w:style w:type="character" w:customStyle="1" w:styleId="32">
    <w:name w:val="批注文字 字符"/>
    <w:basedOn w:val="29"/>
    <w:link w:val="15"/>
    <w:qFormat/>
    <w:uiPriority w:val="99"/>
    <w:rPr>
      <w:rFonts w:eastAsia="仿宋"/>
      <w:kern w:val="2"/>
      <w:sz w:val="24"/>
      <w:szCs w:val="22"/>
    </w:rPr>
  </w:style>
  <w:style w:type="character" w:customStyle="1" w:styleId="33">
    <w:name w:val="批注主题 字符"/>
    <w:basedOn w:val="32"/>
    <w:link w:val="26"/>
    <w:qFormat/>
    <w:uiPriority w:val="0"/>
    <w:rPr>
      <w:rFonts w:eastAsia="仿宋"/>
      <w:b/>
      <w:bCs/>
      <w:kern w:val="2"/>
      <w:sz w:val="24"/>
      <w:szCs w:val="22"/>
    </w:rPr>
  </w:style>
  <w:style w:type="paragraph" w:styleId="34">
    <w:name w:val="List Paragraph"/>
    <w:basedOn w:val="1"/>
    <w:qFormat/>
    <w:uiPriority w:val="34"/>
    <w:pPr>
      <w:ind w:firstLine="420"/>
    </w:pPr>
  </w:style>
  <w:style w:type="character" w:customStyle="1" w:styleId="35">
    <w:name w:val="未处理的提及1"/>
    <w:basedOn w:val="29"/>
    <w:semiHidden/>
    <w:unhideWhenUsed/>
    <w:qFormat/>
    <w:uiPriority w:val="99"/>
    <w:rPr>
      <w:color w:val="605E5C"/>
      <w:shd w:val="clear" w:color="auto" w:fill="E1DFDD"/>
    </w:rPr>
  </w:style>
  <w:style w:type="character" w:customStyle="1" w:styleId="36">
    <w:name w:val="标题 1 字符"/>
    <w:basedOn w:val="29"/>
    <w:link w:val="4"/>
    <w:qFormat/>
    <w:uiPriority w:val="0"/>
    <w:rPr>
      <w:rFonts w:eastAsia="仿宋" w:asciiTheme="majorHAnsi" w:hAnsiTheme="majorHAnsi" w:cstheme="majorBidi"/>
      <w:b/>
      <w:kern w:val="2"/>
      <w:sz w:val="36"/>
      <w:szCs w:val="48"/>
    </w:rPr>
  </w:style>
  <w:style w:type="character" w:customStyle="1" w:styleId="37">
    <w:name w:val="标题 2 字符"/>
    <w:basedOn w:val="29"/>
    <w:link w:val="5"/>
    <w:qFormat/>
    <w:uiPriority w:val="0"/>
    <w:rPr>
      <w:rFonts w:eastAsia="楷体" w:asciiTheme="majorAscii" w:hAnsiTheme="majorAscii" w:cstheme="majorBidi"/>
      <w:b/>
      <w:kern w:val="2"/>
      <w:sz w:val="32"/>
      <w:szCs w:val="40"/>
    </w:rPr>
  </w:style>
  <w:style w:type="character" w:customStyle="1" w:styleId="38">
    <w:name w:val="标题 3 字符"/>
    <w:basedOn w:val="29"/>
    <w:link w:val="6"/>
    <w:qFormat/>
    <w:uiPriority w:val="0"/>
    <w:rPr>
      <w:rFonts w:eastAsia="仿宋" w:asciiTheme="majorHAnsi" w:hAnsiTheme="majorHAnsi" w:cstheme="majorBidi"/>
      <w:b/>
      <w:kern w:val="2"/>
      <w:sz w:val="28"/>
      <w:szCs w:val="32"/>
    </w:rPr>
  </w:style>
  <w:style w:type="character" w:customStyle="1" w:styleId="39">
    <w:name w:val="标题 4 字符"/>
    <w:basedOn w:val="29"/>
    <w:link w:val="7"/>
    <w:qFormat/>
    <w:uiPriority w:val="0"/>
    <w:rPr>
      <w:rFonts w:eastAsia="仿宋" w:cstheme="majorBidi"/>
      <w:kern w:val="2"/>
      <w:sz w:val="28"/>
      <w:szCs w:val="28"/>
    </w:rPr>
  </w:style>
  <w:style w:type="character" w:customStyle="1" w:styleId="40">
    <w:name w:val="标题 5 字符"/>
    <w:basedOn w:val="29"/>
    <w:link w:val="8"/>
    <w:qFormat/>
    <w:uiPriority w:val="0"/>
    <w:rPr>
      <w:rFonts w:cstheme="majorBidi"/>
      <w:color w:val="104862" w:themeColor="accent1" w:themeShade="BF"/>
      <w:sz w:val="24"/>
      <w:szCs w:val="24"/>
    </w:rPr>
  </w:style>
  <w:style w:type="character" w:customStyle="1" w:styleId="41">
    <w:name w:val="标题 6 字符"/>
    <w:basedOn w:val="29"/>
    <w:link w:val="9"/>
    <w:qFormat/>
    <w:uiPriority w:val="0"/>
    <w:rPr>
      <w:rFonts w:cstheme="majorBidi"/>
      <w:b/>
      <w:bCs/>
      <w:color w:val="104862" w:themeColor="accent1" w:themeShade="BF"/>
    </w:rPr>
  </w:style>
  <w:style w:type="character" w:customStyle="1" w:styleId="42">
    <w:name w:val="标题 7 字符"/>
    <w:basedOn w:val="29"/>
    <w:link w:val="10"/>
    <w:qFormat/>
    <w:uiPriority w:val="0"/>
    <w:rPr>
      <w:rFonts w:cstheme="majorBidi"/>
      <w:b/>
      <w:bCs/>
      <w:color w:val="595959" w:themeColor="text1" w:themeTint="A6"/>
      <w14:textFill>
        <w14:solidFill>
          <w14:schemeClr w14:val="tx1">
            <w14:lumMod w14:val="65000"/>
            <w14:lumOff w14:val="35000"/>
          </w14:schemeClr>
        </w14:solidFill>
      </w14:textFill>
    </w:rPr>
  </w:style>
  <w:style w:type="character" w:customStyle="1" w:styleId="43">
    <w:name w:val="标题 8 字符"/>
    <w:basedOn w:val="29"/>
    <w:link w:val="11"/>
    <w:qFormat/>
    <w:uiPriority w:val="0"/>
    <w:rPr>
      <w:rFonts w:cstheme="majorBidi"/>
      <w:color w:val="595959" w:themeColor="text1" w:themeTint="A6"/>
      <w14:textFill>
        <w14:solidFill>
          <w14:schemeClr w14:val="tx1">
            <w14:lumMod w14:val="65000"/>
            <w14:lumOff w14:val="35000"/>
          </w14:schemeClr>
        </w14:solidFill>
      </w14:textFill>
    </w:rPr>
  </w:style>
  <w:style w:type="character" w:customStyle="1" w:styleId="44">
    <w:name w:val="标题 9 字符"/>
    <w:basedOn w:val="29"/>
    <w:link w:val="12"/>
    <w:qFormat/>
    <w:uiPriority w:val="0"/>
    <w:rPr>
      <w:rFonts w:eastAsiaTheme="majorEastAsia" w:cstheme="majorBidi"/>
      <w:color w:val="595959" w:themeColor="text1" w:themeTint="A6"/>
      <w14:textFill>
        <w14:solidFill>
          <w14:schemeClr w14:val="tx1">
            <w14:lumMod w14:val="65000"/>
            <w14:lumOff w14:val="35000"/>
          </w14:schemeClr>
        </w14:solidFill>
      </w14:textFill>
    </w:rPr>
  </w:style>
  <w:style w:type="paragraph" w:customStyle="1" w:styleId="45">
    <w:name w:val="修订1"/>
    <w:hidden/>
    <w:qFormat/>
    <w:uiPriority w:val="99"/>
    <w:pPr>
      <w:spacing w:after="160" w:line="278" w:lineRule="auto"/>
    </w:pPr>
    <w:rPr>
      <w:rFonts w:asciiTheme="minorHAnsi" w:hAnsiTheme="minorHAnsi" w:eastAsiaTheme="minorEastAsia" w:cstheme="minorBidi"/>
      <w:kern w:val="2"/>
      <w:sz w:val="21"/>
      <w:szCs w:val="22"/>
      <w:lang w:val="en-US" w:eastAsia="zh-CN" w:bidi="ar-SA"/>
    </w:rPr>
  </w:style>
  <w:style w:type="paragraph" w:customStyle="1" w:styleId="46">
    <w:name w:val="修订2"/>
    <w:hidden/>
    <w:unhideWhenUsed/>
    <w:qFormat/>
    <w:uiPriority w:val="99"/>
    <w:rPr>
      <w:rFonts w:eastAsia="仿宋" w:asciiTheme="minorHAnsi" w:hAnsiTheme="minorHAnsi" w:cstheme="minorBidi"/>
      <w:kern w:val="2"/>
      <w:sz w:val="24"/>
      <w:szCs w:val="22"/>
      <w:lang w:val="en-US" w:eastAsia="zh-CN" w:bidi="ar-SA"/>
    </w:rPr>
  </w:style>
  <w:style w:type="paragraph" w:customStyle="1" w:styleId="47">
    <w:name w:val="0000样式 正文2 + (符号) Times New Roman"/>
    <w:basedOn w:val="1"/>
    <w:qFormat/>
    <w:uiPriority w:val="0"/>
    <w:pPr>
      <w:tabs>
        <w:tab w:val="left" w:pos="5879"/>
      </w:tabs>
      <w:ind w:firstLine="480"/>
    </w:pPr>
    <w:rPr>
      <w:rFonts w:ascii="Times New Roman" w:hAnsi="宋体" w:cs="Times New Roman"/>
      <w:color w:val="000000"/>
      <w:sz w:val="28"/>
      <w:szCs w:val="24"/>
    </w:rPr>
  </w:style>
  <w:style w:type="character" w:customStyle="1" w:styleId="48">
    <w:name w:val="页脚 字符"/>
    <w:basedOn w:val="29"/>
    <w:link w:val="19"/>
    <w:qFormat/>
    <w:uiPriority w:val="0"/>
    <w:rPr>
      <w:rFonts w:eastAsia="仿宋"/>
      <w:kern w:val="2"/>
      <w:sz w:val="18"/>
      <w:szCs w:val="18"/>
    </w:rPr>
  </w:style>
  <w:style w:type="character" w:customStyle="1" w:styleId="49">
    <w:name w:val="Unresolved Mention"/>
    <w:basedOn w:val="29"/>
    <w:semiHidden/>
    <w:unhideWhenUsed/>
    <w:qFormat/>
    <w:uiPriority w:val="99"/>
    <w:rPr>
      <w:color w:val="605E5C"/>
      <w:shd w:val="clear" w:color="auto" w:fill="E1DFDD"/>
    </w:rPr>
  </w:style>
  <w:style w:type="character" w:customStyle="1" w:styleId="50">
    <w:name w:val="页眉 字符"/>
    <w:basedOn w:val="29"/>
    <w:link w:val="20"/>
    <w:qFormat/>
    <w:uiPriority w:val="0"/>
    <w:rPr>
      <w:rFonts w:eastAsia="仿宋"/>
      <w:kern w:val="2"/>
      <w:sz w:val="18"/>
      <w:szCs w:val="18"/>
    </w:rPr>
  </w:style>
  <w:style w:type="paragraph" w:customStyle="1" w:styleId="51">
    <w:name w:val="样式1"/>
    <w:basedOn w:val="1"/>
    <w:qFormat/>
    <w:uiPriority w:val="0"/>
    <w:pPr>
      <w:keepNext/>
      <w:keepLines/>
      <w:numPr>
        <w:ilvl w:val="0"/>
        <w:numId w:val="1"/>
      </w:numPr>
      <w:spacing w:before="160" w:after="80" w:line="560" w:lineRule="exact"/>
      <w:ind w:leftChars="0" w:firstLine="640"/>
      <w:outlineLvl w:val="1"/>
    </w:pPr>
    <w:rPr>
      <w:rFonts w:hint="eastAsia" w:ascii="楷体" w:hAnsi="楷体" w:eastAsia="楷体" w:cs="楷体"/>
      <w:b/>
      <w:sz w:val="32"/>
      <w:szCs w:val="32"/>
    </w:rPr>
  </w:style>
  <w:style w:type="paragraph" w:customStyle="1" w:styleId="52">
    <w:name w:val="样式2"/>
    <w:basedOn w:val="1"/>
    <w:qFormat/>
    <w:uiPriority w:val="0"/>
    <w:pPr>
      <w:keepNext/>
      <w:keepLines/>
      <w:numPr>
        <w:ilvl w:val="1"/>
        <w:numId w:val="1"/>
      </w:numPr>
      <w:spacing w:before="160" w:after="80" w:line="560" w:lineRule="exact"/>
      <w:ind w:firstLine="0" w:firstLineChars="0"/>
      <w:outlineLvl w:val="1"/>
    </w:pPr>
    <w:rPr>
      <w:rFonts w:hint="eastAsia" w:ascii="楷体" w:hAnsi="楷体" w:eastAsia="楷体" w:cs="楷体"/>
      <w:b/>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3.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jpeg"/><Relationship Id="rId11" Type="http://schemas.openxmlformats.org/officeDocument/2006/relationships/image" Target="media/image3.png"/><Relationship Id="rId10" Type="http://schemas.openxmlformats.org/officeDocument/2006/relationships/image" Target="media/image2.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Version="6" SelectedStyle="\APASixthEditionOfficeOnline.xsl" StyleName="APA"/>
</file>

<file path=customXml/item3.xml><?xml version="1.0" encoding="utf-8"?>
<contractReview xmlns="http://schemas.wps.cn/vas-ai-hub/contract-review">
  <reviewItems>
    <reviewItem>
      <errorID>207262e0-6475-431f-ac5f-5831c69d0c47</errorID>
      <errorWord>'</errorWord>
      <group>L1_Format</group>
      <groupName>格式问题</groupName>
      <ability>L2_HalfPunc</ability>
      <abilityName>全半角检查</abilityName>
      <candidateList/>
      <explain>文本全半角错误。</explain>
      <paraID>105147AE</paraID>
      <start>56</start>
      <end>57</end>
      <status>unmodified</status>
      <modifiedWord/>
      <trackRevisions>false</trackRevisions>
    </reviewItem>
    <reviewItem>
      <errorID>c1013d74-7525-401c-ab0f-764dafed73a7</errorID>
      <errorWord>'</errorWord>
      <group>L1_Format</group>
      <groupName>格式问题</groupName>
      <ability>L2_HalfPunc</ability>
      <abilityName>全半角检查</abilityName>
      <candidateList/>
      <explain>文本全半角错误。</explain>
      <paraID>105147AE</paraID>
      <start>72</start>
      <end>73</end>
      <status>unmodified</status>
      <modifiedWord/>
      <trackRevisions>false</trackRevisions>
    </reviewItem>
    <reviewItem>
      <errorID>722efed4-74ee-4439-a998-3d91bc349c06</errorID>
      <errorWord>'</errorWord>
      <group>L1_Format</group>
      <groupName>格式问题</groupName>
      <ability>L2_HalfPunc</ability>
      <abilityName>全半角检查</abilityName>
      <candidateList/>
      <explain>文本全半角错误。</explain>
      <paraID>44FFE1AB</paraID>
      <start>91</start>
      <end>92</end>
      <status>unmodified</status>
      <modifiedWord/>
      <trackRevisions>false</trackRevisions>
    </reviewItem>
    <reviewItem>
      <errorID>f1139b56-9402-4959-9e89-f2d62549aa1c</errorID>
      <errorWord>'</errorWord>
      <group>L1_Format</group>
      <groupName>格式问题</groupName>
      <ability>L2_HalfPunc</ability>
      <abilityName>全半角检查</abilityName>
      <candidateList/>
      <explain>文本全半角错误。</explain>
      <paraID>44FFE1AB</paraID>
      <start>101</start>
      <end>102</end>
      <status>unmodified</status>
      <modifiedWord/>
      <trackRevisions>false</trackRevisions>
    </reviewItem>
    <reviewItem>
      <errorID>67d5b200-06bd-429f-8634-5db45acc8ff6</errorID>
      <errorWord>'</errorWord>
      <group>L1_Format</group>
      <groupName>格式问题</groupName>
      <ability>L2_HalfPunc</ability>
      <abilityName>全半角检查</abilityName>
      <candidateList/>
      <explain>文本全半角错误。</explain>
      <paraID>44FFE1AB</paraID>
      <start>180</start>
      <end>181</end>
      <status>unmodified</status>
      <modifiedWord/>
      <trackRevisions>false</trackRevisions>
    </reviewItem>
    <reviewItem>
      <errorID>91d9b614-9572-4cc0-b8c4-2867a5bf7cad</errorID>
      <errorWord>'</errorWord>
      <group>L1_Format</group>
      <groupName>格式问题</groupName>
      <ability>L2_HalfPunc</ability>
      <abilityName>全半角检查</abilityName>
      <candidateList/>
      <explain>文本全半角错误。</explain>
      <paraID>6A25BE95</paraID>
      <start>31</start>
      <end>32</end>
      <status>unmodified</status>
      <modifiedWord/>
      <trackRevisions>false</trackRevisions>
    </reviewItem>
    <reviewItem>
      <errorID>ab6a802d-c29d-4620-b174-9dad3a8199e4</errorID>
      <errorWord>'</errorWord>
      <group>L1_Format</group>
      <groupName>格式问题</groupName>
      <ability>L2_HalfPunc</ability>
      <abilityName>全半角检查</abilityName>
      <candidateList/>
      <explain>文本全半角错误。</explain>
      <paraID>6A25BE95</paraID>
      <start>46</start>
      <end>47</end>
      <status>unmodified</status>
      <modifiedWord/>
      <trackRevisions>false</trackRevisions>
    </reviewItem>
    <reviewItem>
      <errorID>be3e3fc0-3081-4874-8fa8-ea7c153a5c74</errorID>
      <errorWord>'</errorWord>
      <group>L1_Format</group>
      <groupName>格式问题</groupName>
      <ability>L2_HalfPunc</ability>
      <abilityName>全半角检查</abilityName>
      <candidateList/>
      <explain>文本全半角错误。</explain>
      <paraID>43F2116E</paraID>
      <start>76</start>
      <end>77</end>
      <status>unmodified</status>
      <modifiedWord/>
      <trackRevisions>false</trackRevisions>
    </reviewItem>
    <reviewItem>
      <errorID>25d5c7d3-6379-4cc0-a2c1-407703fc79e4</errorID>
      <errorWord>'</errorWord>
      <group>L1_Format</group>
      <groupName>格式问题</groupName>
      <ability>L2_HalfPunc</ability>
      <abilityName>全半角检查</abilityName>
      <candidateList/>
      <explain>文本全半角错误。</explain>
      <paraID>43F2116E</paraID>
      <start>93</start>
      <end>94</end>
      <status>unmodified</status>
      <modifiedWord/>
      <trackRevisions>false</trackRevisions>
    </reviewItem>
    <reviewItem>
      <errorID>ccfaabdd-110a-4b30-b112-6874d94cc207</errorID>
      <errorWord>-</errorWord>
      <group>L1_Format</group>
      <groupName>格式问题</groupName>
      <ability>L2_HalfPunc</ability>
      <abilityName>全半角检查</abilityName>
      <candidateList>
        <item>－</item>
      </candidateList>
      <explain>文本全半角错误。</explain>
      <paraID>5B8EB78D</paraID>
      <start>5</start>
      <end>6</end>
      <status>unmodified</status>
      <modifiedWord/>
      <trackRevisions>false</trackRevisions>
    </reviewItem>
    <reviewItem>
      <errorID>e3c398b4-50a0-4c49-8209-048893dbcbe1</errorID>
      <errorWord>现状管网</errorWord>
      <group>L1_Knowledge</group>
      <groupName>知识性问题</groupName>
      <ability>L2_Term</ability>
      <abilityName>专业术语</abilityName>
      <candidateList>
        <item>环状管网</item>
      </candidateList>
      <explain/>
      <paraID>59439F71</paraID>
      <start>93</start>
      <end>97</end>
      <status>ignored</status>
      <modifiedWord/>
      <trackRevisions>false</trackRevisions>
    </reviewItem>
    <reviewItem>
      <errorID>89dc3eb8-1f88-41cd-853b-a887117e5e62</errorID>
      <errorWord>现状管网</errorWord>
      <group>L1_Knowledge</group>
      <groupName>知识性问题</groupName>
      <ability>L2_Term</ability>
      <abilityName>专业术语</abilityName>
      <candidateList>
        <item>环状管网</item>
      </candidateList>
      <explain/>
      <paraID>12488AEB</paraID>
      <start>88</start>
      <end>92</end>
      <status>unmodified</status>
      <modifiedWord/>
      <trackRevisions>false</trackRevisions>
    </reviewItem>
    <reviewItem>
      <errorID>af23032b-1591-4309-a6b4-4418a95944ee</errorID>
      <errorWord>现状管网</errorWord>
      <group>L1_Knowledge</group>
      <groupName>知识性问题</groupName>
      <ability>L2_Term</ability>
      <abilityName>专业术语</abilityName>
      <candidateList>
        <item>环状管网</item>
      </candidateList>
      <explain/>
      <paraID> 4061D2F</paraID>
      <start>89</start>
      <end>93</end>
      <status>unmodified</status>
      <modifiedWord/>
      <trackRevisions>false</trackRevisions>
    </reviewItem>
    <reviewItem>
      <errorID>7f363f00-7458-4920-acf3-d8b9954979f9</errorID>
      <errorWord>现状管网</errorWord>
      <group>L1_Knowledge</group>
      <groupName>知识性问题</groupName>
      <ability>L2_Term</ability>
      <abilityName>专业术语</abilityName>
      <candidateList>
        <item>环状管网</item>
      </candidateList>
      <explain/>
      <paraID>799A564F</paraID>
      <start>85</start>
      <end>89</end>
      <status>unmodified</status>
      <modifiedWord/>
      <trackRevisions>false</trackRevisions>
    </reviewItem>
    <reviewItem>
      <errorID>c1d67acb-0e09-4ba7-9e98-74368c17151a</errorID>
      <errorWord>并能</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16F1A9B2</paraID>
      <start>109</start>
      <end>110</end>
      <status>modified</status>
      <modifiedWord>并</modifiedWord>
      <trackRevisions>false</trackRevisions>
    </reviewItem>
    <reviewItem>
      <errorID>40ff7ca4-4d15-4fed-881c-be5ad0fc814b</errorID>
      <errorWord>水质检测</errorWord>
      <group>L1_Word</group>
      <groupName>字词问题</groupName>
      <ability>L2_Typo</ability>
      <abilityName>字词错误</abilityName>
      <candidateList>
        <item>水质监测</item>
      </candidateList>
      <explain/>
      <paraID>5925D706</paraID>
      <start>14</start>
      <end>18</end>
      <status>ignored</status>
      <modifiedWord/>
      <trackRevisions>false</trackRevisions>
    </reviewItem>
    <reviewItem>
      <errorID>6ec0a579-7c22-4440-b5b0-bb3507bd5a20</errorID>
      <errorWord>线形</errorWord>
      <group>L1_Word</group>
      <groupName>字词问题</groupName>
      <ability>L2_Typo</ability>
      <abilityName>字词错误</abilityName>
      <candidateList>
        <item>线型</item>
      </candidateList>
      <explain/>
      <paraID>2A7541A4</paraID>
      <start>17</start>
      <end>19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E65C32-C90B-4909-9A29-6451BBFDBFBF}">
  <ds:schemaRefs/>
</ds:datastoreItem>
</file>

<file path=customXml/itemProps3.xml><?xml version="1.0" encoding="utf-8"?>
<ds:datastoreItem xmlns:ds="http://schemas.openxmlformats.org/officeDocument/2006/customXml" ds:itemID="{94317d22-411a-46c1-a630-32e7bf3b6db6}">
  <ds:schemaRefs/>
</ds:datastoreItem>
</file>

<file path=docProps/app.xml><?xml version="1.0" encoding="utf-8"?>
<Properties xmlns="http://schemas.openxmlformats.org/officeDocument/2006/extended-properties" xmlns:vt="http://schemas.openxmlformats.org/officeDocument/2006/docPropsVTypes">
  <Pages>74</Pages>
  <Words>3709</Words>
  <Characters>4340</Characters>
  <Lines>316</Lines>
  <Paragraphs>89</Paragraphs>
  <TotalTime>27</TotalTime>
  <ScaleCrop>false</ScaleCrop>
  <LinksUpToDate>false</LinksUpToDate>
  <CharactersWithSpaces>4672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2025-12-19T20:52:00Z</dcterms:created>
  <dc:creator>Microsoft</dc:creator>
  <cp:lastModifiedBy>兔.</cp:lastModifiedBy>
  <cp:lastPrinted>2026-02-12T09:02:00Z</cp:lastPrinted>
  <dcterms:modified xsi:type="dcterms:W3CDTF">2026-02-13T02:44:09Z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E83DC0C5E91466D49D004A692FE0F09F_43</vt:lpwstr>
  </property>
  <property fmtid="{D5CDD505-2E9C-101B-9397-08002B2CF9AE}" pid="4" name="KSOTemplateDocerSaveRecord">
    <vt:lpwstr>eyJoZGlkIjoiOGQ0NWZhZmI5Yzk3ZDJhYjI4MDAxOTNiZTBiY2RlNmMiLCJ1c2VySWQiOiIyNTA2OTA2ODkifQ==</vt:lpwstr>
  </property>
</Properties>
</file>