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AF8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8"/>
          <w:szCs w:val="18"/>
        </w:rPr>
      </w:pPr>
      <w:r>
        <w:rPr>
          <w:rFonts w:ascii="黑体" w:hAnsi="宋体" w:eastAsia="黑体" w:cs="黑体"/>
          <w:i w:val="0"/>
          <w:iCs w:val="0"/>
          <w:caps w:val="0"/>
          <w:color w:val="000000"/>
          <w:spacing w:val="0"/>
          <w:kern w:val="0"/>
          <w:sz w:val="32"/>
          <w:szCs w:val="32"/>
          <w:bdr w:val="none" w:color="auto" w:sz="0" w:space="0"/>
          <w:lang w:val="en-US" w:eastAsia="zh-CN" w:bidi="ar"/>
        </w:rPr>
        <w:t>附件</w:t>
      </w:r>
      <w:r>
        <w:rPr>
          <w:rFonts w:hint="eastAsia" w:ascii="黑体" w:hAnsi="宋体" w:eastAsia="黑体" w:cs="黑体"/>
          <w:i w:val="0"/>
          <w:iCs w:val="0"/>
          <w:caps w:val="0"/>
          <w:color w:val="000000"/>
          <w:spacing w:val="0"/>
          <w:kern w:val="0"/>
          <w:sz w:val="32"/>
          <w:szCs w:val="32"/>
          <w:bdr w:val="none" w:color="auto" w:sz="0" w:space="0"/>
          <w:lang w:val="en-US" w:eastAsia="zh-CN" w:bidi="ar"/>
        </w:rPr>
        <w:t>3-1：</w:t>
      </w:r>
    </w:p>
    <w:p w14:paraId="21370B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宋体" w:hAnsi="宋体" w:eastAsia="宋体" w:cs="宋体"/>
          <w:i w:val="0"/>
          <w:iCs w:val="0"/>
          <w:caps w:val="0"/>
          <w:color w:val="000000"/>
          <w:spacing w:val="0"/>
          <w:sz w:val="18"/>
          <w:szCs w:val="18"/>
        </w:rPr>
      </w:pPr>
      <w:r>
        <w:rPr>
          <w:rFonts w:ascii="方正小标宋简体" w:hAnsi="方正小标宋简体" w:eastAsia="方正小标宋简体" w:cs="方正小标宋简体"/>
          <w:i w:val="0"/>
          <w:iCs w:val="0"/>
          <w:caps w:val="0"/>
          <w:color w:val="000000"/>
          <w:spacing w:val="0"/>
          <w:kern w:val="0"/>
          <w:sz w:val="36"/>
          <w:szCs w:val="36"/>
          <w:bdr w:val="none" w:color="auto" w:sz="0" w:space="0"/>
          <w:lang w:val="en-US" w:eastAsia="zh-CN" w:bidi="ar"/>
        </w:rPr>
        <w:t> </w:t>
      </w:r>
    </w:p>
    <w:p w14:paraId="7BE1ED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宋体" w:hAnsi="宋体" w:eastAsia="宋体" w:cs="宋体"/>
          <w:i w:val="0"/>
          <w:iCs w:val="0"/>
          <w:caps w:val="0"/>
          <w:color w:val="000000"/>
          <w:spacing w:val="0"/>
          <w:sz w:val="18"/>
          <w:szCs w:val="18"/>
        </w:rPr>
      </w:pPr>
      <w:r>
        <w:rPr>
          <w:rFonts w:hint="eastAsia" w:ascii="方正小标宋简体" w:hAnsi="方正小标宋简体" w:eastAsia="方正小标宋简体" w:cs="方正小标宋简体"/>
          <w:i w:val="0"/>
          <w:iCs w:val="0"/>
          <w:caps w:val="0"/>
          <w:color w:val="000000"/>
          <w:spacing w:val="0"/>
          <w:kern w:val="0"/>
          <w:sz w:val="36"/>
          <w:szCs w:val="36"/>
          <w:bdr w:val="none" w:color="auto" w:sz="0" w:space="0"/>
          <w:lang w:val="en-US" w:eastAsia="zh-CN" w:bidi="ar"/>
        </w:rPr>
        <w:t>单位整体支出部门评价报告</w:t>
      </w:r>
    </w:p>
    <w:p w14:paraId="2BD09F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宋体" w:hAnsi="宋体" w:eastAsia="宋体" w:cs="宋体"/>
          <w:i w:val="0"/>
          <w:iCs w:val="0"/>
          <w:caps w:val="0"/>
          <w:color w:val="000000"/>
          <w:spacing w:val="0"/>
          <w:sz w:val="18"/>
          <w:szCs w:val="18"/>
        </w:rPr>
      </w:pPr>
      <w:r>
        <w:rPr>
          <w:rFonts w:ascii="楷体_GB2312" w:hAnsi="宋体" w:eastAsia="楷体_GB2312" w:cs="楷体_GB2312"/>
          <w:i w:val="0"/>
          <w:iCs w:val="0"/>
          <w:caps w:val="0"/>
          <w:color w:val="000000"/>
          <w:spacing w:val="0"/>
          <w:kern w:val="0"/>
          <w:sz w:val="32"/>
          <w:szCs w:val="32"/>
          <w:bdr w:val="none" w:color="auto" w:sz="0" w:space="0"/>
          <w:lang w:val="en-US" w:eastAsia="zh-CN" w:bidi="ar"/>
        </w:rPr>
        <w:t>（</w:t>
      </w:r>
      <w:r>
        <w:rPr>
          <w:rFonts w:hint="default" w:ascii="楷体_GB2312" w:hAnsi="宋体" w:eastAsia="楷体_GB2312" w:cs="楷体_GB2312"/>
          <w:i w:val="0"/>
          <w:iCs w:val="0"/>
          <w:caps w:val="0"/>
          <w:color w:val="000000"/>
          <w:spacing w:val="0"/>
          <w:kern w:val="0"/>
          <w:sz w:val="32"/>
          <w:szCs w:val="32"/>
          <w:bdr w:val="none" w:color="auto" w:sz="0" w:space="0"/>
          <w:lang w:val="en-US" w:eastAsia="zh-CN" w:bidi="ar"/>
        </w:rPr>
        <w:t> 2025 年度）</w:t>
      </w:r>
    </w:p>
    <w:p w14:paraId="04E689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kern w:val="0"/>
          <w:sz w:val="32"/>
          <w:szCs w:val="32"/>
          <w:bdr w:val="none" w:color="auto" w:sz="0" w:space="0"/>
          <w:lang w:val="en-US" w:eastAsia="zh-CN" w:bidi="ar"/>
        </w:rPr>
        <w:t>一、单位概况</w:t>
      </w:r>
    </w:p>
    <w:p w14:paraId="6BA9C1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ascii="仿宋_GB2312" w:hAnsi="宋体" w:eastAsia="仿宋_GB2312" w:cs="仿宋_GB2312"/>
          <w:i w:val="0"/>
          <w:iCs w:val="0"/>
          <w:caps w:val="0"/>
          <w:color w:val="000000"/>
          <w:spacing w:val="0"/>
          <w:kern w:val="0"/>
          <w:sz w:val="32"/>
          <w:szCs w:val="32"/>
          <w:bdr w:val="none" w:color="auto" w:sz="0" w:space="0"/>
          <w:lang w:val="en-US" w:eastAsia="zh-CN" w:bidi="ar"/>
        </w:rPr>
        <w:t>（一）单位主要职责职能，组织架构、人员及资产等基本情况</w:t>
      </w:r>
    </w:p>
    <w:p w14:paraId="17737E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负责拟订并组织实施全县重大发展战略和中长期发展规划，提出全县经济社会和城市发展的定位目标任务以及生产力布局和重大建设项目。归口管理全县专项发展规划和区域发展规划的编制工作，对各专项（行业）规划、区域规划特别是需要安排中央、省、市、县政府投资以及涉及重大建设项目的规划统筹组织衔接平衡和论证。衔接平衡城市总体规划和土地利用规划，组织对接国家、省、市相关规划，指导乡镇、各管理处（管委会）规划工作。拟订国民经济和社会发展计划，负责各领域年度计划的衔接平衡，受县人民政府委托向县人大提交计划报告。</w:t>
      </w:r>
    </w:p>
    <w:p w14:paraId="02D45C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负责监测全县经济社会和城市发展态势，研究协调全县经济总量平衡、产业竞争力提升和城市可持续发展等重要问题，综合协调财政、信贷、土地、投资、价格、产业政策、资源环保政策、生产安全政策、节能减排政策等杠杆，运用县直接掌握的经济资源和手段，调节经济运行，促进结构优化升级和重要经济社会发展目标、限制性指标的实现，促进经济与社会以及城市之间、区域之间、人与自然之间和谐发展。组织起草全县国民经济和社会发展、经济体制改革和对外开放地有关地方性政策、规章草案和重大政策，参与拟定全县财政政策和土地政策，综合分析评估宏观调控成效。</w:t>
      </w:r>
    </w:p>
    <w:p w14:paraId="0734E4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3.承担指导推进和综合协调经济体制改革的责任，研究全县经济体制改革和对外开放的重大问题，组织拟订综合性经济体制改革方案，组织协调有关专项经济体制改革方案的研究、论证，会同有关部门搞好重要专项经济体制改革之间的衔接，指导经济体制改革试点和改革试验区工作。规范和发展产权交易行为。</w:t>
      </w:r>
    </w:p>
    <w:p w14:paraId="422378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4.拟订全社会固定资产投资总规模和投资结构的调控目标、政策及措施，统筹安排县级重大重点项目和政府投资项目计划，按国家、省、市和县政府规定权限审批、核准、备案、审核重大建设项目、重大外资项目、境外资源开发类重大投资项目和大额用汇投资项目，引导民间投资的方向。统筹组织全县争取国家、省、市有关项目、资金和政策支持工作。负责指导和协调全县招标投标工作，负责规划、指导、协调全县公共资源交易监管工作，依法对公共资源交易实施监督管理。审查建设项目设计方案，组织县重大重点项目的调度推进，开展全县重大建设项目稽察和后评价，组织项目竣工验收，管理和协调县重点工程建设。统筹全县重大重点项目库和评审专家网络的建设管理，组织重大重点项目评审工作，管理县重大规划经费和重大项目前期经费。指导协调政府投资项目代建工作，指导全县工程咨询业发展。</w:t>
      </w:r>
    </w:p>
    <w:p w14:paraId="032A9F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5.负责协调一、二、三次产业发展，组织拟订全县综合性产业政策和新型战略产业、高技术产业规划，推动规划实施和产业结构优化调整，协调解决重大技术装备推广应用等方面的重大问题。协调全县农业和农村经济社会发展的重大问题，组织以工代赈项目。指导协调全县服务业发展，拟订中介服务业发展战略、规划并组织实施，统筹申报服务业引导资金项目，推进社会信用体系建设。</w:t>
      </w:r>
    </w:p>
    <w:p w14:paraId="046389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6.负责县域经济协调协作发展，承担组织编制全县主体功能区规划并协调实施和监测评估的责任，研究提出全县城镇化发展战略和重大政策，组织谋划城乡重大功能性基础设施和产业支撑项目，负责企业债券发行的初审、报批和监管。组织拟订政府性投资的重大重点项目融资方案；研究衔接和组织推进全县综合交通体系建设，统筹协调地方铁路建设。</w:t>
      </w:r>
    </w:p>
    <w:p w14:paraId="4DF7D2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7.负责全县全口径外债的总量控制、结构优化和监测工作，指导和监督全县国外贷款建设资金的使用。研究提出全县利用外资和境外投资的战略安排、总量平衡和结构优化的目标和政策。编制全县重要农产品、工业品和原材料进出口总量计划以及外贸进口计划并监督执行。</w:t>
      </w:r>
    </w:p>
    <w:p w14:paraId="5AB8F8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8.负责全县社会发展与国民经济发展的有效衔接，组织拟订全县社会发展战略、总体规划和年度计划，参与拟订人口和计划生育、科学技术、教育、文化、卫生、民政等发展政策，研究提出促进就业、调整收入分配、完善社会保障与经济协调发展的政策建议，协调社会事业发展和改革中的重大问题及政策，推进民生工程和社会事业发展。</w:t>
      </w:r>
    </w:p>
    <w:p w14:paraId="669FE9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9.负责全县应对气候变化及节能减排工作的综合协调，负责预测监测能源需求和能源发展情况，提出能源经济运行综合调控目标，协调处理能源发展和改革中的重大问题，负责成品油、天然气、电力、新能源和可再生能源等能源行业的协调管理，负责固定资产投资项目节能评估和审查工作，负责节能及节能行政执法、执法监督工作，参与制定环境资源保护与利用综合规划，组织拟定发展循环经济、全社会能源资源节约和综合利用规划及政策措施并协调实施，协调推进全县低碳经济发展和低碳城市建设工作。</w:t>
      </w:r>
    </w:p>
    <w:p w14:paraId="2B4030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10.承担全县重要商品总量平衡和宏观调控的责任，拟订全县战略物资储备规划，负责组织战略物资的收储、动用、轮换和管理，会同有关部门管理国家粮食、棉花和食糖等储备。组织实施国民经济动员有关工作，负责组织煤、电、油、粮食等重要物资的紧急调度。</w:t>
      </w:r>
    </w:p>
    <w:p w14:paraId="6B5A49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11.研究提出本县人口发展战略，组织对人口规模、趋势、素质、结构等人口重大问题的战略性、前瞻性研究，为本县政治经济社会发展提供人口政策依据；编制人口中、长期规划和年度计划草案。</w:t>
      </w:r>
    </w:p>
    <w:p w14:paraId="678F81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12.负责推进、指导、协调、监督本部门、本系统的政府信息公开工作。</w:t>
      </w:r>
    </w:p>
    <w:p w14:paraId="13F3A6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13.贯彻执行国家、省、市、县出台的法律、法规和价格政策；适时提出全县价格监控目标；落实国家、省、市价格主管部门和县人民政府下达的价格调整方案，并在全县经织实施。</w:t>
      </w:r>
    </w:p>
    <w:p w14:paraId="35FA5D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14.依法建立完善价格监测和预警体系；健全和完善价格调节基金制度，综合运用市场调节和行政干预手段调控市场价格行为。</w:t>
      </w:r>
    </w:p>
    <w:p w14:paraId="4C0CAF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15.组织实施重要商品的政府定价和政府指导价，对实行市场调节价的商品和服务价格进行调控指导。健全和实施价格听证决策制度和价格公示制度。</w:t>
      </w:r>
    </w:p>
    <w:p w14:paraId="18F71C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16.负责行政事业性收费及重要的公益性、公用事业价格（收费）管理，负责核发和管理全县行政事业性和重要经营性收费许可证，定期组织审验。</w:t>
      </w:r>
    </w:p>
    <w:p w14:paraId="12C376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17.负责价格监测、预警和信息发布工作，并根据价格监测信息向县政府提出价格调控政策具体建议。</w:t>
      </w:r>
    </w:p>
    <w:p w14:paraId="2BA5E0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18.依法对价格行为实施监督检查，受理价格违法行为的举报投诉；依法对价格违法行为实施行政处罚；开展价格公共服务。</w:t>
      </w:r>
    </w:p>
    <w:p w14:paraId="4E8181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19.负责重要商品和服务价格的成本调查、成本工作。</w:t>
      </w:r>
    </w:p>
    <w:p w14:paraId="2B3CB2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20.负责全县价格认证、价格鉴定、涉案物品的评估工作。</w:t>
      </w:r>
    </w:p>
    <w:p w14:paraId="0B3D6A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21.负责指导各乡镇、各管理处（管委会）的价格监督管理工作。</w:t>
      </w:r>
    </w:p>
    <w:p w14:paraId="5040B6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22.承办县人民政府交办的其他事项。</w:t>
      </w:r>
    </w:p>
    <w:p w14:paraId="109E0E1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sz w:val="32"/>
          <w:szCs w:val="32"/>
          <w:bdr w:val="none" w:color="auto" w:sz="0" w:space="0"/>
        </w:rPr>
        <w:t>编制人数小计44人，其中：行政编制26人、参照公务员管理的事业编制0人、全部补助事业编制14人、部分补助事业编制0人、自收自支事业编制4人。实有人数81人，其中：在职人数小计49人，包括行政人员24人、参照公务员管理的事业编制10人、全部补助事业人员11人、部分补助事业人员0人、自收自支事业人员4人；离休人数小计0人；退休人员小计30人。遗属人数0人。其他2人。</w:t>
      </w:r>
    </w:p>
    <w:p w14:paraId="7B264E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（二）当年单位履职总体目标、工作任务</w:t>
      </w:r>
    </w:p>
    <w:p w14:paraId="063F4A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总体目标：加强党的政治建设。切实提高政治站位，坚持党对发改委工作的绝对领导，增强“四个意识”、坚定“四个自信”、做到“两个维护”。严守政治纪律和政治规矩，始终在政治立场、政治方向、政治原则、政治道路上同以习近平同志为核心的党中央保持高度一致。</w:t>
      </w:r>
    </w:p>
    <w:p w14:paraId="17489A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（三）当年单位年度整体支出绩效目标</w:t>
      </w:r>
    </w:p>
    <w:p w14:paraId="7EC0EC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2025年度整体支出绩效目标主要体现在严格资金监督管理。我单位不断加强财政管理专项治理，加大财政资金使用监管力度，切实保障落实财政政策和发挥资金效益，保证财政整体支出评价指标框架、绩效目标、绩效评价等方面标准对项目资金的管理、概况、效益指标等事项实现整体化。</w:t>
      </w:r>
    </w:p>
    <w:p w14:paraId="43317B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（四）当年单位预算及执行情况</w:t>
      </w:r>
    </w:p>
    <w:p w14:paraId="3C6C72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2025年南昌县发展和改革委员会收入预算总额为2722.43万元，较上年减少2384.2万元，减少47%，其中：财政拨款收入2572.43万元，其他收入150万元。</w:t>
      </w:r>
      <w:r>
        <w:rPr>
          <w:rFonts w:ascii="仿宋" w:hAnsi="仿宋" w:eastAsia="仿宋" w:cs="仿宋"/>
          <w:b w:val="0"/>
          <w:bCs w:val="0"/>
          <w:i w:val="0"/>
          <w:iCs w:val="0"/>
          <w:caps w:val="0"/>
          <w:color w:val="000000"/>
          <w:spacing w:val="0"/>
          <w:kern w:val="0"/>
          <w:sz w:val="32"/>
          <w:szCs w:val="32"/>
          <w:bdr w:val="none" w:color="auto" w:sz="0" w:space="0"/>
          <w:lang w:val="en-US" w:eastAsia="zh-CN" w:bidi="ar"/>
        </w:rPr>
        <w:t>我委</w:t>
      </w: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严格按照《南昌县财政局关于展开2025年度部门整体支出绩效评价工作的通知》南财绩【2026】1号文件要求，高度重视，认真组织开展部门整体支出评价。</w:t>
      </w:r>
    </w:p>
    <w:p w14:paraId="0C8BA0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kern w:val="0"/>
          <w:sz w:val="32"/>
          <w:szCs w:val="32"/>
          <w:bdr w:val="none" w:color="auto" w:sz="0" w:space="0"/>
          <w:lang w:val="en-US" w:eastAsia="zh-CN" w:bidi="ar"/>
        </w:rPr>
        <w:t>二、评价工作开展情况</w:t>
      </w:r>
    </w:p>
    <w:p w14:paraId="556CE1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（一）评价的目的和思路</w:t>
      </w:r>
    </w:p>
    <w:p w14:paraId="0DBBC2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根据编制年度预算时提交的财政支出项目绩效目标申报表及项目设定的预期目标，选择合适的评价指标和标准，运用科学的评价方法，对资金使用全过程及其支出的经济性、效率性和效益性进行客观公正的综合评价，以衡量财政资金的使用绩效，分析支出项目是否达到预期目标。同时，及时总结经验，分析存在问题，进一步改进和加强资金管理，提高财政资金使用效益。</w:t>
      </w:r>
    </w:p>
    <w:p w14:paraId="7FE7D6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（二）评价方法和指标体系</w:t>
      </w:r>
    </w:p>
    <w:p w14:paraId="62F0BF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1.评价方法</w:t>
      </w:r>
    </w:p>
    <w:p w14:paraId="0D43F2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主要采用因素分析法和数据对比法。因素分析法评价项目实施的整体情况是否符合实际需要，数据对比法则反映的是项目运行的持续性和质量的可控性。</w:t>
      </w:r>
    </w:p>
    <w:p w14:paraId="6CE0EF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2.指标体系</w:t>
      </w:r>
    </w:p>
    <w:p w14:paraId="1A7E87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根据财政部《预算绩效评价共性指标体系框架》等文件精神，确定本次绩效评价指标的整体框架。针对项目构建一套指标体系，项目指标包括 ：        </w:t>
      </w:r>
    </w:p>
    <w:p w14:paraId="4E2ACF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1）项目概述：推进全县发展改革项目规范化建设，全方位提高改革资金项目到位情况。</w:t>
      </w:r>
    </w:p>
    <w:p w14:paraId="0233A4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2）实施主体：南昌县发展和改革委员会</w:t>
      </w:r>
    </w:p>
    <w:p w14:paraId="6FDA4A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3）实施周期：2025年</w:t>
      </w:r>
    </w:p>
    <w:p w14:paraId="7AC3B4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4）年度预算安排：1630.88万元</w:t>
      </w:r>
    </w:p>
    <w:p w14:paraId="1212D3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5）绩效目标和指标：</w:t>
      </w:r>
    </w:p>
    <w:p w14:paraId="5458A9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数量指标：发展改革资金项目数量逐年增加</w:t>
      </w:r>
    </w:p>
    <w:p w14:paraId="5C5ACF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质量指标：验收低耗质量达标　</w:t>
      </w:r>
    </w:p>
    <w:p w14:paraId="0C4B51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时效指标：项目建设使用率达标</w:t>
      </w:r>
    </w:p>
    <w:p w14:paraId="6AF8D3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成本指标：资金使用率达标</w:t>
      </w:r>
    </w:p>
    <w:p w14:paraId="46E3B7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社会效益指标：全县发展资金项目占比提高</w:t>
      </w:r>
    </w:p>
    <w:p w14:paraId="74104A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满意度：群众满意度提升</w:t>
      </w:r>
    </w:p>
    <w:p w14:paraId="0C2371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（三）评价实施过程</w:t>
      </w:r>
    </w:p>
    <w:p w14:paraId="4E6DDE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实施本年绩效评价，首先根据项目预先设立的绩效目标、项目管理办法、专项资金管理办法、项目实施方案等资料，选择合适的评价指标和标准，同时明确本次绩效评价的目的、方法、评价的原则、评价标准、时间安排等，形成绩效评价工作方案。提交部门审核，并根据审核意见进一步修改和完善绩效评价工作方案。</w:t>
      </w:r>
    </w:p>
    <w:p w14:paraId="36A019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kern w:val="0"/>
          <w:sz w:val="32"/>
          <w:szCs w:val="32"/>
          <w:bdr w:val="none" w:color="auto" w:sz="0" w:space="0"/>
          <w:lang w:val="en-US" w:eastAsia="zh-CN" w:bidi="ar"/>
        </w:rPr>
        <w:t>三、评价总体结论</w:t>
      </w:r>
    </w:p>
    <w:p w14:paraId="004123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（一）评价得分情况</w:t>
      </w:r>
    </w:p>
    <w:p w14:paraId="7D4675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部门决策管理30分：得分30分</w:t>
      </w:r>
    </w:p>
    <w:p w14:paraId="2B16C7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部门规划工作计划明确性（得分6分）：设置“年度任务”“创新创优”等指标，强化创先争优导向。</w:t>
      </w:r>
    </w:p>
    <w:p w14:paraId="269CA8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绩效目标指标（得分4分）：绩效目标的合理性及明确性。</w:t>
      </w:r>
    </w:p>
    <w:p w14:paraId="74FFF3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资金配置指标（得分4分）：对项目开展全流程管理，提升项目产出指标，完善绩效考核体系。</w:t>
      </w:r>
    </w:p>
    <w:p w14:paraId="42F71B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资金管理指标（得分4分）：资金分配的合理性及预算编制的科学性。</w:t>
      </w:r>
    </w:p>
    <w:p w14:paraId="7519AE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预算管理指标（得分4分）：预算管理制度健全，信息及时公开。</w:t>
      </w:r>
    </w:p>
    <w:p w14:paraId="491C51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政府采购指标（得分2分）：有效节约了采购成本。</w:t>
      </w:r>
    </w:p>
    <w:p w14:paraId="67086A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资产管理指标（得分4分）：规范资产管理，有效利用固定资产。</w:t>
      </w:r>
    </w:p>
    <w:p w14:paraId="34CCD1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组织实施指标（得分2分）：制定了健全的管理制度。</w:t>
      </w:r>
    </w:p>
    <w:p w14:paraId="05E7AB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部门产出（35分）：得分31分</w:t>
      </w:r>
    </w:p>
    <w:p w14:paraId="4D15F1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产出数量9分：安排全县重大项目</w:t>
      </w:r>
    </w:p>
    <w:p w14:paraId="54688D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产出质量9分：实现全县经济增长</w:t>
      </w:r>
    </w:p>
    <w:p w14:paraId="0BD660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产出时效9分：完成全年计划</w:t>
      </w:r>
    </w:p>
    <w:p w14:paraId="4EFF53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产出成本4分：成本控制</w:t>
      </w:r>
    </w:p>
    <w:p w14:paraId="5FC7D7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部门效益得分32分：不断提升民众满意度，推动发展和改革事业；增强工作的引领力，凝聚力，指导力，服务力和创新力。</w:t>
      </w:r>
    </w:p>
    <w:p w14:paraId="3626A6B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sz w:val="32"/>
          <w:szCs w:val="32"/>
          <w:bdr w:val="none" w:color="auto" w:sz="0" w:space="0"/>
        </w:rPr>
        <w:t>   （二）评价总体结论</w:t>
      </w:r>
    </w:p>
    <w:p w14:paraId="71881C3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sz w:val="32"/>
          <w:szCs w:val="32"/>
          <w:bdr w:val="none" w:color="auto" w:sz="0" w:space="0"/>
        </w:rPr>
        <w:t>围绕绩效评价指标体系，通过数据采集分析，财务核查、实地核查及深度访谈等方式，对该项目绩效进行了客观、公正、合理、有效的评价，依据财政绩效评价等级划分评分为93分，本项目绩效评价等级为“优”。</w:t>
      </w:r>
    </w:p>
    <w:p w14:paraId="77C153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kern w:val="0"/>
          <w:sz w:val="32"/>
          <w:szCs w:val="32"/>
          <w:bdr w:val="none" w:color="auto" w:sz="0" w:space="0"/>
          <w:lang w:val="en-US" w:eastAsia="zh-CN" w:bidi="ar"/>
        </w:rPr>
        <w:t>四、单位整体支出绩效实现情况</w:t>
      </w:r>
    </w:p>
    <w:p w14:paraId="3E0076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（一）单位决策完成情况</w:t>
      </w:r>
    </w:p>
    <w:p w14:paraId="7DA7C2B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sz w:val="32"/>
          <w:szCs w:val="32"/>
          <w:bdr w:val="none" w:color="auto" w:sz="0" w:space="0"/>
        </w:rPr>
        <w:t>统筹安排县级重大重点项目和政府投资项目计划，按国家、省、市和县政府规定权限审批、核准、备案、审核重大建设项目、重大外资项目、境外资源开发类重大投资项目和大额用汇投资项目，引导民间投资的方向。统筹组织全县争取国家、省、市有关项目、资金和政策支持工作。负责指导和协调全县招标投标工作，负责规划、指导、协调全县公共资源交易监管工作，依法对公共资源交易实施监督管理。审查建设项目设计方案，组织县重大重点项目的调度推进，开展全县重大建设项目稽察和后评价，组织项目竣工验收，管理和协调县重点工程建设。统筹全县重大重点项目库和评审专家网络的建设管理，组织重大重点项目评审工作，管理县重大规划经费和重大项目前期经费。指导协调政府投资项目代建工作，指导全县工程咨询业发展</w:t>
      </w:r>
      <w:r>
        <w:rPr>
          <w:rFonts w:hint="eastAsia" w:ascii="宋体" w:hAnsi="宋体" w:eastAsia="宋体" w:cs="宋体"/>
          <w:i w:val="0"/>
          <w:iCs w:val="0"/>
          <w:caps w:val="0"/>
          <w:color w:val="000000"/>
          <w:spacing w:val="0"/>
          <w:sz w:val="32"/>
          <w:szCs w:val="32"/>
          <w:bdr w:val="none" w:color="auto" w:sz="0" w:space="0"/>
        </w:rPr>
        <w:t>。</w:t>
      </w:r>
    </w:p>
    <w:p w14:paraId="4212384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sz w:val="32"/>
          <w:szCs w:val="32"/>
          <w:bdr w:val="none" w:color="auto" w:sz="0" w:space="0"/>
        </w:rPr>
        <w:t>（二）单位管理完成情况</w:t>
      </w:r>
    </w:p>
    <w:p w14:paraId="7B5EF4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32"/>
          <w:szCs w:val="32"/>
          <w:bdr w:val="none" w:color="auto" w:sz="0" w:space="0"/>
        </w:rPr>
        <w:t>   </w:t>
      </w:r>
      <w:r>
        <w:rPr>
          <w:rFonts w:hint="default" w:ascii="仿宋_GB2312" w:hAnsi="宋体" w:eastAsia="仿宋_GB2312" w:cs="仿宋_GB2312"/>
          <w:i w:val="0"/>
          <w:iCs w:val="0"/>
          <w:caps w:val="0"/>
          <w:color w:val="000000"/>
          <w:spacing w:val="0"/>
          <w:sz w:val="32"/>
          <w:szCs w:val="32"/>
          <w:bdr w:val="none" w:color="auto" w:sz="0" w:space="0"/>
        </w:rPr>
        <w:t> 1、制度优化与效能提升，创新前评估后评价机制。</w:t>
      </w:r>
    </w:p>
    <w:p w14:paraId="066010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2、建立经济运行监测体系，定期分析研判经济形势，提出针对性对策建议，确保经济平稳健康发展。</w:t>
      </w:r>
    </w:p>
    <w:p w14:paraId="461A56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（三）单位产出完成情况</w:t>
      </w:r>
    </w:p>
    <w:p w14:paraId="1776DB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从数量、质量、时效等方面归纳反映年度</w:t>
      </w:r>
      <w:r>
        <w:rPr>
          <w:rFonts w:hint="eastAsia" w:ascii="宋体" w:hAnsi="宋体" w:eastAsia="宋体" w:cs="宋体"/>
          <w:i w:val="0"/>
          <w:iCs w:val="0"/>
          <w:caps w:val="0"/>
          <w:color w:val="000000"/>
          <w:spacing w:val="0"/>
          <w:kern w:val="0"/>
          <w:sz w:val="32"/>
          <w:szCs w:val="32"/>
          <w:bdr w:val="none" w:color="auto" w:sz="0" w:space="0"/>
          <w:lang w:val="en-US" w:eastAsia="zh-CN" w:bidi="ar"/>
        </w:rPr>
        <w:t>单位决策</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完成情况。</w:t>
      </w:r>
    </w:p>
    <w:p w14:paraId="010655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数量指标：参与拟订人口和计划生育、科学技术、教育、文化、卫生、民政等发展政策，研究提出促进就业、调整收入分配、完善社会保障与经济协调发展的政策建议，协调社会事业发展和改革中的重大问题及政策，推进民生工程和社会事业发展。</w:t>
      </w:r>
    </w:p>
    <w:p w14:paraId="6D714D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2.质量指标：，保证落实价格改革重点工作，保障改善民生。</w:t>
      </w:r>
    </w:p>
    <w:p w14:paraId="19894C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3.时效指标：各项经费及时足额拨付。</w:t>
      </w:r>
    </w:p>
    <w:p w14:paraId="196126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（四）单位效果完成情况</w:t>
      </w:r>
    </w:p>
    <w:p w14:paraId="051B26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从社会效益、经济效益、生态效益等方面反映部门履职效果的实现情况。</w:t>
      </w:r>
    </w:p>
    <w:p w14:paraId="1E9EE4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1.社会效益：促进全县经济发展、社会和谐稳定及时反映社会发展的新问题，新情况，为政府及有关部门制定决策，作出重大部署提供数据技持。</w:t>
      </w:r>
    </w:p>
    <w:p w14:paraId="63CD93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2.经济效益指标：推进社会信用体系建设，提升信用体系水平，各项工作胜利开展，为我县的经济发展提供了稳定的基础。</w:t>
      </w:r>
    </w:p>
    <w:p w14:paraId="160C91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3.生态效益：对环境无影响，符合环保要求。</w:t>
      </w:r>
    </w:p>
    <w:p w14:paraId="1135C1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4.社会满意度及可持续性影响</w:t>
      </w:r>
    </w:p>
    <w:p w14:paraId="778563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满意度指标：服务对象和工作者满意度为98%，</w:t>
      </w:r>
    </w:p>
    <w:p w14:paraId="41CC39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可持续性影响：不断提升民众满意度，推动发展和改革事业；增强工作的引领力，凝聚力，指导力，服务力和创新力。</w:t>
      </w:r>
    </w:p>
    <w:p w14:paraId="2159C9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kern w:val="0"/>
          <w:sz w:val="32"/>
          <w:szCs w:val="32"/>
          <w:bdr w:val="none" w:color="auto" w:sz="0" w:space="0"/>
          <w:lang w:val="en-US" w:eastAsia="zh-CN" w:bidi="ar"/>
        </w:rPr>
        <w:t>五、单位整体支出绩效中存在问题及改进措施</w:t>
      </w:r>
    </w:p>
    <w:p w14:paraId="2AB67E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（一）主要问题及原因分析</w:t>
      </w:r>
    </w:p>
    <w:p w14:paraId="34EA41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整体支出绩效运行效结论、存在问题两方面。涉及部门年度工作与部门职能、规划的相关程度判断，整体支出绩效运行制度保障的完善程度，部门内部控制机制的健全程度，整体支出绩效运行资源配置水平和能力等。</w:t>
      </w:r>
    </w:p>
    <w:p w14:paraId="201FB7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（二）改进的方向和具体措施</w:t>
      </w:r>
    </w:p>
    <w:p w14:paraId="4FF2C8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基于本次部门整体支出绩效的建议，应与揭示的绩效问题相结合，预算精细化执行难度大、管理的科学化和精细化是对整体资金使用情况的有效监督，由于单位在分配每个项目资金中有限制，有些费用支出变动较大，以后将项目的精细化在预算中体现，实现点到位、精到位，努力完成整体支出等重要工作。</w:t>
      </w:r>
    </w:p>
    <w:p w14:paraId="4F0955E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sz w:val="32"/>
          <w:szCs w:val="32"/>
          <w:bdr w:val="none" w:color="auto" w:sz="0" w:space="0"/>
        </w:rPr>
        <w:t>六、单位整体支出绩效评价指标评分表</w:t>
      </w:r>
    </w:p>
    <w:p w14:paraId="79638DC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28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32"/>
          <w:szCs w:val="32"/>
          <w:bdr w:val="none" w:color="auto" w:sz="0" w:space="0"/>
        </w:rPr>
        <w:t>见附件</w:t>
      </w:r>
      <w:r>
        <w:rPr>
          <w:rFonts w:hint="default" w:ascii="仿宋_GB2312" w:hAnsi="宋体" w:eastAsia="仿宋_GB2312" w:cs="仿宋_GB2312"/>
          <w:i w:val="0"/>
          <w:iCs w:val="0"/>
          <w:caps w:val="0"/>
          <w:color w:val="000000"/>
          <w:spacing w:val="0"/>
          <w:sz w:val="32"/>
          <w:szCs w:val="32"/>
          <w:bdr w:val="none" w:color="auto" w:sz="0" w:space="0"/>
        </w:rPr>
        <w:t>3-2</w:t>
      </w:r>
      <w:r>
        <w:rPr>
          <w:rFonts w:hint="eastAsia" w:ascii="宋体" w:hAnsi="宋体" w:eastAsia="宋体" w:cs="宋体"/>
          <w:i w:val="0"/>
          <w:iCs w:val="0"/>
          <w:caps w:val="0"/>
          <w:color w:val="000000"/>
          <w:spacing w:val="0"/>
          <w:sz w:val="32"/>
          <w:szCs w:val="32"/>
          <w:bdr w:val="none" w:color="auto" w:sz="0" w:space="0"/>
        </w:rPr>
        <w:t>表</w:t>
      </w:r>
    </w:p>
    <w:p w14:paraId="1C8E4D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宋体" w:hAnsi="宋体" w:eastAsia="宋体" w:cs="宋体"/>
          <w:i w:val="0"/>
          <w:iCs w:val="0"/>
          <w:caps w:val="0"/>
          <w:color w:val="000000"/>
          <w:spacing w:val="0"/>
          <w:sz w:val="18"/>
          <w:szCs w:val="18"/>
        </w:rPr>
      </w:pPr>
      <w:r>
        <w:rPr>
          <w:rFonts w:ascii="Calibri" w:hAnsi="Calibri" w:eastAsia="宋体" w:cs="Calibri"/>
          <w:i w:val="0"/>
          <w:iCs w:val="0"/>
          <w:caps w:val="0"/>
          <w:color w:val="000000"/>
          <w:spacing w:val="0"/>
          <w:kern w:val="0"/>
          <w:sz w:val="21"/>
          <w:szCs w:val="21"/>
          <w:bdr w:val="none" w:color="auto" w:sz="0" w:space="0"/>
          <w:lang w:val="en-US" w:eastAsia="zh-CN" w:bidi="ar"/>
        </w:rPr>
        <w:t> </w:t>
      </w:r>
    </w:p>
    <w:p w14:paraId="485E511E">
      <w:bookmarkStart w:id="0" w:name="_GoBack"/>
      <w:bookmarkEnd w:id="0"/>
    </w:p>
    <w:sectPr>
      <w:footerReference r:id="rId3" w:type="default"/>
      <w:pgSz w:w="11850" w:h="16783"/>
      <w:pgMar w:top="2098" w:right="1474" w:bottom="1984" w:left="1588" w:header="851" w:footer="992" w:gutter="0"/>
      <w:cols w:space="720" w:num="1"/>
      <w:docGrid w:type="lines" w:linePitch="57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E42D533-D691-4C1D-9A67-C4255A6856B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4C8D174-376F-4142-8E8F-7A0494AB6FDE}"/>
  </w:font>
  <w:font w:name="方正小标宋简体">
    <w:panose1 w:val="02000000000000000000"/>
    <w:charset w:val="86"/>
    <w:family w:val="auto"/>
    <w:pitch w:val="default"/>
    <w:sig w:usb0="00000001" w:usb1="08000000" w:usb2="00000000" w:usb3="00000000" w:csb0="00040000" w:csb1="00000000"/>
    <w:embedRegular r:id="rId3" w:fontKey="{ABD73AEA-703F-46CC-986B-178888F23F35}"/>
  </w:font>
  <w:font w:name="FZXBSJW--GB1-0">
    <w:altName w:val="宋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4" w:fontKey="{5FDD2459-A1B7-44D5-9570-C8840C227971}"/>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楷体_GB2312">
    <w:altName w:val="楷体"/>
    <w:panose1 w:val="00000000000000000000"/>
    <w:charset w:val="00"/>
    <w:family w:val="auto"/>
    <w:pitch w:val="default"/>
    <w:sig w:usb0="00000000" w:usb1="00000000" w:usb2="00000000" w:usb3="00000000" w:csb0="00000000" w:csb1="00000000"/>
    <w:embedRegular r:id="rId5" w:fontKey="{84BAC952-8BD8-49AE-96DB-BA1B0C8C50A0}"/>
  </w:font>
  <w:font w:name="仿宋_GB2312">
    <w:altName w:val="仿宋"/>
    <w:panose1 w:val="00000000000000000000"/>
    <w:charset w:val="00"/>
    <w:family w:val="auto"/>
    <w:pitch w:val="default"/>
    <w:sig w:usb0="00000000" w:usb1="00000000" w:usb2="00000000" w:usb3="00000000" w:csb0="00000000" w:csb1="00000000"/>
    <w:embedRegular r:id="rId6" w:fontKey="{41ADFD4B-A0E0-4CB9-9E62-A7CF2F88B48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7F9F9">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28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172A27"/>
    <w:rsid w:val="0008017D"/>
    <w:rsid w:val="000B33C0"/>
    <w:rsid w:val="000B691E"/>
    <w:rsid w:val="000C0B44"/>
    <w:rsid w:val="00126ED9"/>
    <w:rsid w:val="001D310A"/>
    <w:rsid w:val="00375D46"/>
    <w:rsid w:val="00396310"/>
    <w:rsid w:val="003B65A3"/>
    <w:rsid w:val="00457765"/>
    <w:rsid w:val="0052795B"/>
    <w:rsid w:val="005A6790"/>
    <w:rsid w:val="00662EAD"/>
    <w:rsid w:val="00693D3D"/>
    <w:rsid w:val="008829DE"/>
    <w:rsid w:val="0092664C"/>
    <w:rsid w:val="00AC5AEF"/>
    <w:rsid w:val="00B3247A"/>
    <w:rsid w:val="00C76EDD"/>
    <w:rsid w:val="00C8174E"/>
    <w:rsid w:val="00D237F2"/>
    <w:rsid w:val="00D36BBA"/>
    <w:rsid w:val="00DC32BF"/>
    <w:rsid w:val="00DD564C"/>
    <w:rsid w:val="00DF1DA4"/>
    <w:rsid w:val="00E30C6E"/>
    <w:rsid w:val="00EC1784"/>
    <w:rsid w:val="00F31D47"/>
    <w:rsid w:val="02AC7D2F"/>
    <w:rsid w:val="03207478"/>
    <w:rsid w:val="055D1E10"/>
    <w:rsid w:val="05870F9B"/>
    <w:rsid w:val="05EF7312"/>
    <w:rsid w:val="0AAE6186"/>
    <w:rsid w:val="0ABB440A"/>
    <w:rsid w:val="0DB34406"/>
    <w:rsid w:val="12243133"/>
    <w:rsid w:val="22F94E1C"/>
    <w:rsid w:val="3ABA4CC6"/>
    <w:rsid w:val="4955408F"/>
    <w:rsid w:val="4B43378F"/>
    <w:rsid w:val="66BC15A3"/>
    <w:rsid w:val="689A0C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szCs w:val="21"/>
    </w:rPr>
  </w:style>
  <w:style w:type="paragraph" w:styleId="3">
    <w:name w:val="footer"/>
    <w:basedOn w:val="1"/>
    <w:link w:val="11"/>
    <w:qFormat/>
    <w:uiPriority w:val="0"/>
    <w:pPr>
      <w:tabs>
        <w:tab w:val="center" w:pos="4153"/>
        <w:tab w:val="right" w:pos="8306"/>
      </w:tabs>
      <w:snapToGrid w:val="0"/>
      <w:jc w:val="left"/>
    </w:pPr>
    <w:rPr>
      <w:sz w:val="18"/>
    </w:rPr>
  </w:style>
  <w:style w:type="paragraph" w:styleId="4">
    <w:name w:val="header"/>
    <w:basedOn w:val="1"/>
    <w:link w:val="10"/>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uiPriority w:val="0"/>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眉 Char"/>
    <w:basedOn w:val="8"/>
    <w:link w:val="4"/>
    <w:qFormat/>
    <w:uiPriority w:val="0"/>
    <w:rPr>
      <w:rFonts w:hint="default" w:ascii="Calibri" w:hAnsi="Calibri" w:cs="Calibri"/>
      <w:kern w:val="2"/>
      <w:sz w:val="18"/>
      <w:szCs w:val="18"/>
    </w:rPr>
  </w:style>
  <w:style w:type="character" w:customStyle="1" w:styleId="11">
    <w:name w:val="页脚 Char"/>
    <w:basedOn w:val="8"/>
    <w:link w:val="3"/>
    <w:qFormat/>
    <w:uiPriority w:val="0"/>
    <w:rPr>
      <w:rFonts w:hint="default" w:ascii="Calibri" w:hAnsi="Calibri" w:cs="Calibri"/>
      <w:kern w:val="2"/>
      <w:sz w:val="18"/>
      <w:szCs w:val="18"/>
    </w:rPr>
  </w:style>
  <w:style w:type="paragraph" w:customStyle="1" w:styleId="12">
    <w:name w:val="msolistparagraph"/>
    <w:basedOn w:val="1"/>
    <w:qFormat/>
    <w:uiPriority w:val="0"/>
    <w:pPr>
      <w:ind w:firstLine="420" w:firstLineChars="200"/>
    </w:pPr>
    <w:rPr>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13</Pages>
  <Words>5506</Words>
  <Characters>5615</Characters>
  <Lines>2</Lines>
  <Paragraphs>1</Paragraphs>
  <TotalTime>5</TotalTime>
  <ScaleCrop>false</ScaleCrop>
  <LinksUpToDate>false</LinksUpToDate>
  <CharactersWithSpaces>5635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2025-01-13T06:52:00Z</dcterms:created>
  <dc:creator>Administrator</dc:creator>
  <cp:lastModifiedBy>WPS_695079399</cp:lastModifiedBy>
  <dcterms:modified xsi:type="dcterms:W3CDTF">2026-04-30T01:45:02Z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eyJoZGlkIjoiZTRjM2UzYTEwNzU1ZWM0NTg0OTg0MTVkMzBmZjhkZTIiLCJ1c2VySWQiOiI2OTUwNzkzOTkifQ==</vt:lpwstr>
  </property>
  <property fmtid="{D5CDD505-2E9C-101B-9397-08002B2CF9AE}" pid="4" name="ICV">
    <vt:lpwstr>6A593E8E8B6B44A8B17D732FC15FE4CF_12</vt:lpwstr>
  </property>
</Properties>
</file>