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2179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left"/>
        <w:rPr>
          <w:rFonts w:hint="eastAsia" w:ascii="宋体" w:hAnsi="宋体" w:eastAsia="宋体" w:cs="宋体"/>
          <w:i w:val="0"/>
          <w:iCs w:val="0"/>
          <w:caps w:val="0"/>
          <w:color w:val="000000"/>
          <w:spacing w:val="0"/>
          <w:sz w:val="18"/>
          <w:szCs w:val="18"/>
        </w:rPr>
      </w:pPr>
      <w:r>
        <w:rPr>
          <w:rFonts w:ascii="黑体" w:hAnsi="宋体" w:eastAsia="黑体" w:cs="黑体"/>
          <w:i w:val="0"/>
          <w:iCs w:val="0"/>
          <w:caps w:val="0"/>
          <w:color w:val="000000"/>
          <w:spacing w:val="0"/>
          <w:kern w:val="0"/>
          <w:sz w:val="32"/>
          <w:szCs w:val="32"/>
          <w:bdr w:val="none" w:color="auto" w:sz="0" w:space="0"/>
          <w:lang w:val="en-US" w:eastAsia="zh-CN" w:bidi="ar"/>
        </w:rPr>
        <w:t>附件</w:t>
      </w:r>
      <w:r>
        <w:rPr>
          <w:rFonts w:hint="eastAsia" w:ascii="黑体" w:hAnsi="宋体" w:eastAsia="黑体" w:cs="黑体"/>
          <w:i w:val="0"/>
          <w:iCs w:val="0"/>
          <w:caps w:val="0"/>
          <w:color w:val="000000"/>
          <w:spacing w:val="0"/>
          <w:kern w:val="0"/>
          <w:sz w:val="32"/>
          <w:szCs w:val="32"/>
          <w:bdr w:val="none" w:color="auto" w:sz="0" w:space="0"/>
          <w:lang w:val="en-US" w:eastAsia="zh-CN" w:bidi="ar"/>
        </w:rPr>
        <w:t>2-1：</w:t>
      </w:r>
    </w:p>
    <w:p w14:paraId="49D3EC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eastAsia" w:ascii="宋体" w:hAnsi="宋体" w:eastAsia="宋体" w:cs="宋体"/>
          <w:i w:val="0"/>
          <w:iCs w:val="0"/>
          <w:caps w:val="0"/>
          <w:color w:val="000000"/>
          <w:spacing w:val="0"/>
          <w:sz w:val="18"/>
          <w:szCs w:val="18"/>
        </w:rPr>
      </w:pPr>
      <w:r>
        <w:rPr>
          <w:rFonts w:ascii="方正小标宋简体" w:hAnsi="方正小标宋简体" w:eastAsia="方正小标宋简体" w:cs="方正小标宋简体"/>
          <w:i w:val="0"/>
          <w:iCs w:val="0"/>
          <w:caps w:val="0"/>
          <w:color w:val="000000"/>
          <w:spacing w:val="0"/>
          <w:kern w:val="0"/>
          <w:sz w:val="32"/>
          <w:szCs w:val="32"/>
          <w:bdr w:val="none" w:color="auto" w:sz="0" w:space="0"/>
          <w:lang w:val="en-US" w:eastAsia="zh-CN" w:bidi="ar"/>
        </w:rPr>
        <w:t>项目支出部门评价报告</w:t>
      </w:r>
    </w:p>
    <w:p w14:paraId="2C5023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kern w:val="0"/>
          <w:sz w:val="32"/>
          <w:szCs w:val="32"/>
          <w:bdr w:val="none" w:color="auto" w:sz="0" w:space="0"/>
          <w:lang w:val="en-US" w:eastAsia="zh-CN" w:bidi="ar"/>
        </w:rPr>
        <w:t>一、基本情况</w:t>
      </w:r>
    </w:p>
    <w:p w14:paraId="50E71C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ascii="仿宋_GB2312" w:hAnsi="宋体" w:eastAsia="仿宋_GB2312" w:cs="仿宋_GB2312"/>
          <w:i w:val="0"/>
          <w:iCs w:val="0"/>
          <w:caps w:val="0"/>
          <w:color w:val="000000"/>
          <w:spacing w:val="0"/>
          <w:kern w:val="0"/>
          <w:sz w:val="32"/>
          <w:szCs w:val="32"/>
          <w:bdr w:val="none" w:color="auto" w:sz="0" w:space="0"/>
          <w:lang w:val="en-US" w:eastAsia="zh-CN" w:bidi="ar"/>
        </w:rPr>
        <w:t>（一）项目概况。包括项目背景、主要内容及实施情况、资金投入和使用情况等。</w:t>
      </w:r>
    </w:p>
    <w:p w14:paraId="007F933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500" w:lineRule="atLeast"/>
        <w:ind w:left="0" w:right="0" w:firstLine="42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shd w:val="clear" w:fill="FFFFFF"/>
          <w:lang w:val="en-US" w:eastAsia="zh-CN" w:bidi="ar"/>
        </w:rPr>
        <w:t>全面贯彻党的二十大精神，深入贯彻习近平总书记系列重要讲话精神和治国理政新理念新思想新战略，紧紧围绕统筹推进“五位一体”总体布局和协调推进“四个全面”战略布局。为进一步规范和加强部门财政预算绩效管理,提高项目支出的经济性、效益性和效率性,按照南昌县委、县政府对财政工作的总体要求,我部门对2025年度“南昌市建设高品质服务业聚集发展支持服务建设”项目分别进行了进行了自我绩效评价。</w:t>
      </w:r>
    </w:p>
    <w:p w14:paraId="6DF2F1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（二）项目绩效目标。包括总体目标和阶段性目标。</w:t>
      </w:r>
    </w:p>
    <w:p w14:paraId="3FDF84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2025年度“南昌市建设高品质服务业聚集发展支持服务建设”项目综合完成率为100.00%，项目整体工作基本完成，切实保障“南昌市建设高品质服务业聚集发展支持服务建设”项目数据质量，有效促进“南昌市建设高品质服务业聚集发展支持服务建设”项目服务工作推广的全面提升。</w:t>
      </w:r>
    </w:p>
    <w:p w14:paraId="05DE4C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kern w:val="0"/>
          <w:sz w:val="32"/>
          <w:szCs w:val="32"/>
          <w:bdr w:val="none" w:color="auto" w:sz="0" w:space="0"/>
          <w:lang w:val="en-US" w:eastAsia="zh-CN" w:bidi="ar"/>
        </w:rPr>
        <w:t>二、绩效评价工作开展情况</w:t>
      </w:r>
    </w:p>
    <w:p w14:paraId="79E15E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（一）绩效评价目的、对象和范围。</w:t>
      </w:r>
    </w:p>
    <w:p w14:paraId="2EC96EF4">
      <w:pPr>
        <w:pStyle w:val="3"/>
        <w:keepNext w:val="0"/>
        <w:keepLines w:val="0"/>
        <w:widowControl/>
        <w:suppressLineNumbers w:val="0"/>
        <w:spacing w:line="500" w:lineRule="atLeast"/>
        <w:ind w:left="0" w:firstLine="640"/>
        <w:rPr>
          <w:rFonts w:hint="eastAsia" w:ascii="宋体" w:hAnsi="宋体" w:eastAsia="宋体" w:cs="宋体"/>
          <w:i w:val="0"/>
          <w:iCs w:val="0"/>
          <w:caps w:val="0"/>
          <w:color w:val="000000"/>
          <w:spacing w:val="0"/>
        </w:rPr>
      </w:pPr>
      <w:r>
        <w:rPr>
          <w:rFonts w:hint="default" w:ascii="仿宋_GB2312" w:hAnsi="宋体" w:eastAsia="仿宋_GB2312" w:cs="仿宋_GB2312"/>
          <w:b w:val="0"/>
          <w:bCs w:val="0"/>
          <w:i w:val="0"/>
          <w:iCs w:val="0"/>
          <w:caps w:val="0"/>
          <w:color w:val="000000"/>
          <w:spacing w:val="0"/>
          <w:sz w:val="32"/>
          <w:szCs w:val="32"/>
        </w:rPr>
        <w:t>1.绩效评价目的</w:t>
      </w:r>
    </w:p>
    <w:p w14:paraId="66FA8B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根据编制年度预算时提交的财政支出项目绩效目标申报表及项目设定的预期目标，选择合适的评价指标和标准，运用科学的评价方法，对资金使用全过程及其支出的经济性、效率性和效益性进行客观公正的综合评价，以衡量财政资金的使用绩效，分析支出项目是否达到预期目标。同时，及时总结经验，分析存在问题，进一步改进和加强资金管理，提高财政资金使用效益。</w:t>
      </w:r>
    </w:p>
    <w:p w14:paraId="228194C7">
      <w:pPr>
        <w:pStyle w:val="3"/>
        <w:keepNext w:val="0"/>
        <w:keepLines w:val="0"/>
        <w:widowControl/>
        <w:suppressLineNumbers w:val="0"/>
        <w:spacing w:line="500" w:lineRule="atLeast"/>
        <w:ind w:left="210" w:firstLine="640"/>
        <w:rPr>
          <w:rFonts w:hint="eastAsia" w:ascii="宋体" w:hAnsi="宋体" w:eastAsia="宋体" w:cs="宋体"/>
          <w:i w:val="0"/>
          <w:iCs w:val="0"/>
          <w:caps w:val="0"/>
          <w:color w:val="000000"/>
          <w:spacing w:val="0"/>
        </w:rPr>
      </w:pPr>
      <w:r>
        <w:rPr>
          <w:rFonts w:hint="default" w:ascii="仿宋_GB2312" w:hAnsi="宋体" w:eastAsia="仿宋_GB2312" w:cs="仿宋_GB2312"/>
          <w:b w:val="0"/>
          <w:bCs w:val="0"/>
          <w:i w:val="0"/>
          <w:iCs w:val="0"/>
          <w:caps w:val="0"/>
          <w:color w:val="000000"/>
          <w:spacing w:val="0"/>
          <w:sz w:val="32"/>
          <w:szCs w:val="32"/>
        </w:rPr>
        <w:t>2.评价对象</w:t>
      </w:r>
    </w:p>
    <w:p w14:paraId="2EFCBB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2025年度“南昌市建设高品质服务业聚集发展支持服务建设”项目，南昌县发展和改革委员会为项目主管单位，由南昌县发展和改革委员会各股室及相关单位组织实施，落实项目的监督管理工作，监控项目实施成效，以保证项目合规、高效完成。</w:t>
      </w:r>
    </w:p>
    <w:p w14:paraId="75F81562">
      <w:pPr>
        <w:pStyle w:val="3"/>
        <w:keepNext w:val="0"/>
        <w:keepLines w:val="0"/>
        <w:widowControl/>
        <w:suppressLineNumbers w:val="0"/>
        <w:spacing w:line="500" w:lineRule="atLeast"/>
        <w:ind w:left="210" w:firstLine="640"/>
        <w:rPr>
          <w:rFonts w:hint="eastAsia" w:ascii="宋体" w:hAnsi="宋体" w:eastAsia="宋体" w:cs="宋体"/>
          <w:i w:val="0"/>
          <w:iCs w:val="0"/>
          <w:caps w:val="0"/>
          <w:color w:val="000000"/>
          <w:spacing w:val="0"/>
        </w:rPr>
      </w:pPr>
      <w:r>
        <w:rPr>
          <w:rFonts w:hint="default" w:ascii="仿宋_GB2312" w:hAnsi="宋体" w:eastAsia="仿宋_GB2312" w:cs="仿宋_GB2312"/>
          <w:b w:val="0"/>
          <w:bCs w:val="0"/>
          <w:i w:val="0"/>
          <w:iCs w:val="0"/>
          <w:caps w:val="0"/>
          <w:color w:val="000000"/>
          <w:spacing w:val="0"/>
          <w:sz w:val="32"/>
          <w:szCs w:val="32"/>
        </w:rPr>
        <w:t>3.评价范围</w:t>
      </w:r>
    </w:p>
    <w:p w14:paraId="0E2A6C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2025年度“南昌市建设高品质服务业聚集发展支持服务建设”项目，预算批复资金为700万元；实施范围支持先进制造业项目工作；包括项目具体申报、实施、完成情况以及公众满意度等；评价项目时段为2025年1月1日至2025年12月31日。</w:t>
      </w:r>
    </w:p>
    <w:p w14:paraId="320839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（二）绩效评价原则、评价指标体系、评价方法、评价标准等。</w:t>
      </w:r>
    </w:p>
    <w:p w14:paraId="155A9977">
      <w:pPr>
        <w:pStyle w:val="3"/>
        <w:keepNext w:val="0"/>
        <w:keepLines w:val="0"/>
        <w:widowControl/>
        <w:suppressLineNumbers w:val="0"/>
        <w:spacing w:line="500" w:lineRule="atLeast"/>
        <w:ind w:left="0" w:firstLine="640"/>
        <w:rPr>
          <w:rFonts w:hint="eastAsia" w:ascii="宋体" w:hAnsi="宋体" w:eastAsia="宋体" w:cs="宋体"/>
          <w:i w:val="0"/>
          <w:iCs w:val="0"/>
          <w:caps w:val="0"/>
          <w:color w:val="000000"/>
          <w:spacing w:val="0"/>
        </w:rPr>
      </w:pPr>
      <w:r>
        <w:rPr>
          <w:rFonts w:hint="default" w:ascii="仿宋_GB2312" w:hAnsi="宋体" w:eastAsia="仿宋_GB2312" w:cs="仿宋_GB2312"/>
          <w:b w:val="0"/>
          <w:bCs w:val="0"/>
          <w:i w:val="0"/>
          <w:iCs w:val="0"/>
          <w:caps w:val="0"/>
          <w:color w:val="000000"/>
          <w:spacing w:val="0"/>
          <w:sz w:val="32"/>
          <w:szCs w:val="32"/>
        </w:rPr>
        <w:t>1.绩效评价原则</w:t>
      </w:r>
    </w:p>
    <w:p w14:paraId="27F89A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绩效评价遵循以下基本原则：</w:t>
      </w:r>
    </w:p>
    <w:p w14:paraId="7C2F79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（一）科学公正。</w:t>
      </w:r>
    </w:p>
    <w:p w14:paraId="4C7252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（二）统筹兼顾。</w:t>
      </w:r>
    </w:p>
    <w:p w14:paraId="14D128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（三）激励约束。</w:t>
      </w:r>
    </w:p>
    <w:p w14:paraId="1C0B7C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（四）公开透明。</w:t>
      </w:r>
    </w:p>
    <w:p w14:paraId="662639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2.评价指标体系</w:t>
      </w:r>
    </w:p>
    <w:p w14:paraId="39E12B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435" w:right="0" w:hanging="44"/>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根据财政部《预算绩效评价共性指标体系框架》等文件精神，确定本次绩效评价指标的整体框架。针对项目构建一套指标体系，项目指标包括 ：        </w:t>
      </w:r>
    </w:p>
    <w:p w14:paraId="6C110C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1）项目概述：推进南昌市建设高品质服务业聚集发展支持服务建设项目规范化建设，全方位提高南昌市建设高品质服务业聚集发展支持服务建设项目到位情况。</w:t>
      </w:r>
    </w:p>
    <w:p w14:paraId="31017E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2）实施主体：南昌县发展和改革委员会</w:t>
      </w:r>
    </w:p>
    <w:p w14:paraId="4CEBD1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3）实施周期：2025年</w:t>
      </w:r>
    </w:p>
    <w:p w14:paraId="1FDFB5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4）年度预算安排：700万元</w:t>
      </w:r>
    </w:p>
    <w:p w14:paraId="183251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5）绩效目标和指标：</w:t>
      </w:r>
    </w:p>
    <w:p w14:paraId="402809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数量指标：兑现申报申报项目个数</w:t>
      </w:r>
    </w:p>
    <w:p w14:paraId="592AAE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质量指标：获得项目支持达标率　</w:t>
      </w:r>
    </w:p>
    <w:p w14:paraId="26DF1A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时效指标：完成政策兑现工作时间</w:t>
      </w:r>
    </w:p>
    <w:p w14:paraId="068D4F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成本指标：支持全市高品质服务建设成本</w:t>
      </w:r>
    </w:p>
    <w:p w14:paraId="263793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社会效益指标：服务业增加值持续增加</w:t>
      </w:r>
    </w:p>
    <w:p w14:paraId="4B323F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满意度：群众满意度提升</w:t>
      </w:r>
    </w:p>
    <w:p w14:paraId="7765A280">
      <w:pPr>
        <w:pStyle w:val="3"/>
        <w:keepNext w:val="0"/>
        <w:keepLines w:val="0"/>
        <w:widowControl/>
        <w:suppressLineNumbers w:val="0"/>
        <w:spacing w:line="500" w:lineRule="atLeast"/>
        <w:ind w:left="0" w:firstLine="640"/>
        <w:rPr>
          <w:rFonts w:hint="eastAsia" w:ascii="宋体" w:hAnsi="宋体" w:eastAsia="宋体" w:cs="宋体"/>
          <w:i w:val="0"/>
          <w:iCs w:val="0"/>
          <w:caps w:val="0"/>
          <w:color w:val="000000"/>
          <w:spacing w:val="0"/>
        </w:rPr>
      </w:pPr>
      <w:r>
        <w:rPr>
          <w:rFonts w:hint="default" w:ascii="仿宋_GB2312" w:hAnsi="宋体" w:eastAsia="仿宋_GB2312" w:cs="仿宋_GB2312"/>
          <w:b w:val="0"/>
          <w:bCs w:val="0"/>
          <w:i w:val="0"/>
          <w:iCs w:val="0"/>
          <w:caps w:val="0"/>
          <w:color w:val="000000"/>
          <w:spacing w:val="0"/>
          <w:sz w:val="32"/>
          <w:szCs w:val="32"/>
        </w:rPr>
        <w:t>3.评价方法</w:t>
      </w:r>
    </w:p>
    <w:p w14:paraId="725333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主要采用因素分析法和数据对比法。因素分析法评价项目实施的整体情况是否符合实际需要，数据对比法则反映的是项目运行的持续性和质量的可控性。</w:t>
      </w:r>
    </w:p>
    <w:p w14:paraId="19984F2E">
      <w:pPr>
        <w:pStyle w:val="3"/>
        <w:keepNext w:val="0"/>
        <w:keepLines w:val="0"/>
        <w:widowControl/>
        <w:suppressLineNumbers w:val="0"/>
        <w:spacing w:line="500" w:lineRule="atLeast"/>
        <w:ind w:left="0" w:firstLine="640"/>
        <w:rPr>
          <w:rFonts w:hint="eastAsia" w:ascii="宋体" w:hAnsi="宋体" w:eastAsia="宋体" w:cs="宋体"/>
          <w:i w:val="0"/>
          <w:iCs w:val="0"/>
          <w:caps w:val="0"/>
          <w:color w:val="000000"/>
          <w:spacing w:val="0"/>
        </w:rPr>
      </w:pPr>
      <w:r>
        <w:rPr>
          <w:rFonts w:hint="default" w:ascii="仿宋_GB2312" w:hAnsi="宋体" w:eastAsia="仿宋_GB2312" w:cs="仿宋_GB2312"/>
          <w:b w:val="0"/>
          <w:bCs w:val="0"/>
          <w:i w:val="0"/>
          <w:iCs w:val="0"/>
          <w:caps w:val="0"/>
          <w:color w:val="000000"/>
          <w:spacing w:val="0"/>
          <w:sz w:val="32"/>
          <w:szCs w:val="32"/>
        </w:rPr>
        <w:t>4.评价标准</w:t>
      </w:r>
    </w:p>
    <w:p w14:paraId="054559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b w:val="0"/>
          <w:bCs w:val="0"/>
          <w:i w:val="0"/>
          <w:iCs w:val="0"/>
          <w:caps w:val="0"/>
          <w:color w:val="000000"/>
          <w:spacing w:val="0"/>
          <w:kern w:val="0"/>
          <w:sz w:val="32"/>
          <w:szCs w:val="32"/>
          <w:bdr w:val="none" w:color="auto" w:sz="0" w:space="0"/>
          <w:lang w:val="en-US" w:eastAsia="zh-CN" w:bidi="ar"/>
        </w:rPr>
        <w:t>绩效评价标准是财政支出绩效目标完成程度的衡量尺度。通过评价标准判断评价指标的合理与重要性程度，作为评价工作的基本准绳和标尺，决定了评价目标的实现与否以及评价结果的准确与否，并作为评价计分的依据。</w:t>
      </w:r>
    </w:p>
    <w:p w14:paraId="701D79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（三）绩效评价工作过程。</w:t>
      </w:r>
    </w:p>
    <w:p w14:paraId="5C080724">
      <w:pPr>
        <w:pStyle w:val="3"/>
        <w:keepNext w:val="0"/>
        <w:keepLines w:val="0"/>
        <w:widowControl/>
        <w:suppressLineNumbers w:val="0"/>
        <w:spacing w:line="500" w:lineRule="atLeast"/>
        <w:ind w:left="0" w:firstLine="640"/>
        <w:rPr>
          <w:rFonts w:hint="eastAsia" w:ascii="宋体" w:hAnsi="宋体" w:eastAsia="宋体" w:cs="宋体"/>
          <w:i w:val="0"/>
          <w:iCs w:val="0"/>
          <w:caps w:val="0"/>
          <w:color w:val="000000"/>
          <w:spacing w:val="0"/>
        </w:rPr>
      </w:pPr>
      <w:r>
        <w:rPr>
          <w:rFonts w:hint="default" w:ascii="仿宋_GB2312" w:hAnsi="宋体" w:eastAsia="仿宋_GB2312" w:cs="仿宋_GB2312"/>
          <w:b w:val="0"/>
          <w:bCs w:val="0"/>
          <w:i w:val="0"/>
          <w:iCs w:val="0"/>
          <w:caps w:val="0"/>
          <w:color w:val="000000"/>
          <w:spacing w:val="0"/>
          <w:sz w:val="32"/>
          <w:szCs w:val="32"/>
        </w:rPr>
        <w:t>实施本次绩效评价，首先根据项目预先设立的绩效目标、项目管理办法、专项资金管理办法、项目实施方案等资料，选择合适的评价指标和标准，同时明确本次绩效评价的目的、方法、评价的原则、评价标准、时间安排等，形成绩效评价工作方案。提交部门审核，并根据审核意见进一步修改和完善绩效评价工作方案。</w:t>
      </w:r>
    </w:p>
    <w:p w14:paraId="31ADBB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kern w:val="0"/>
          <w:sz w:val="32"/>
          <w:szCs w:val="32"/>
          <w:bdr w:val="none" w:color="auto" w:sz="0" w:space="0"/>
          <w:lang w:val="en-US" w:eastAsia="zh-CN" w:bidi="ar"/>
        </w:rPr>
        <w:t>三、综合评价情况及评价结论</w:t>
      </w:r>
    </w:p>
    <w:p w14:paraId="51885A0E">
      <w:pPr>
        <w:pStyle w:val="3"/>
        <w:keepNext w:val="0"/>
        <w:keepLines w:val="0"/>
        <w:widowControl/>
        <w:suppressLineNumbers w:val="0"/>
        <w:spacing w:line="500" w:lineRule="atLeast"/>
        <w:ind w:left="0" w:firstLine="640"/>
        <w:rPr>
          <w:rFonts w:hint="eastAsia" w:ascii="宋体" w:hAnsi="宋体" w:eastAsia="宋体" w:cs="宋体"/>
          <w:i w:val="0"/>
          <w:iCs w:val="0"/>
          <w:caps w:val="0"/>
          <w:color w:val="000000"/>
          <w:spacing w:val="0"/>
        </w:rPr>
      </w:pPr>
      <w:r>
        <w:rPr>
          <w:rFonts w:hint="default" w:ascii="仿宋_GB2312" w:hAnsi="宋体" w:eastAsia="仿宋_GB2312" w:cs="仿宋_GB2312"/>
          <w:b w:val="0"/>
          <w:bCs w:val="0"/>
          <w:i w:val="0"/>
          <w:iCs w:val="0"/>
          <w:caps w:val="0"/>
          <w:color w:val="000000"/>
          <w:spacing w:val="0"/>
          <w:sz w:val="32"/>
          <w:szCs w:val="32"/>
        </w:rPr>
        <w:t>围绕绩效评价指标体系，通过数据采集分析，财务核查、实地核查及</w:t>
      </w:r>
      <w:r>
        <w:rPr>
          <w:rFonts w:ascii="仿宋" w:hAnsi="仿宋" w:eastAsia="仿宋" w:cs="仿宋"/>
          <w:b w:val="0"/>
          <w:bCs w:val="0"/>
          <w:i w:val="0"/>
          <w:iCs w:val="0"/>
          <w:caps w:val="0"/>
          <w:color w:val="000000"/>
          <w:spacing w:val="0"/>
          <w:sz w:val="32"/>
          <w:szCs w:val="32"/>
        </w:rPr>
        <w:t>深度访谈等方式，对该项目绩效进行了客观、公正、合理、有效的评价，依据财政绩效评价等级划分评分为</w:t>
      </w:r>
      <w:r>
        <w:rPr>
          <w:rFonts w:hint="eastAsia" w:ascii="仿宋" w:hAnsi="仿宋" w:eastAsia="仿宋" w:cs="仿宋"/>
          <w:b w:val="0"/>
          <w:bCs w:val="0"/>
          <w:i w:val="0"/>
          <w:iCs w:val="0"/>
          <w:caps w:val="0"/>
          <w:color w:val="000000"/>
          <w:spacing w:val="0"/>
          <w:sz w:val="32"/>
          <w:szCs w:val="32"/>
        </w:rPr>
        <w:t>96分，本项目绩效评价等级为“优”</w:t>
      </w:r>
      <w:r>
        <w:rPr>
          <w:rFonts w:hint="default" w:ascii="仿宋_GB2312" w:hAnsi="宋体" w:eastAsia="仿宋_GB2312" w:cs="仿宋_GB2312"/>
          <w:b w:val="0"/>
          <w:bCs w:val="0"/>
          <w:i w:val="0"/>
          <w:iCs w:val="0"/>
          <w:caps w:val="0"/>
          <w:color w:val="000000"/>
          <w:spacing w:val="0"/>
          <w:sz w:val="32"/>
          <w:szCs w:val="32"/>
        </w:rPr>
        <w:t>。</w:t>
      </w:r>
    </w:p>
    <w:p w14:paraId="45660E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kern w:val="0"/>
          <w:sz w:val="32"/>
          <w:szCs w:val="32"/>
          <w:bdr w:val="none" w:color="auto" w:sz="0" w:space="0"/>
          <w:lang w:val="en-US" w:eastAsia="zh-CN" w:bidi="ar"/>
        </w:rPr>
        <w:t>四、绩效评价指标分析</w:t>
      </w:r>
    </w:p>
    <w:p w14:paraId="47519E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（一）项目决策情况。</w:t>
      </w:r>
    </w:p>
    <w:p w14:paraId="192840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1.项目立项（6分）</w:t>
      </w:r>
    </w:p>
    <w:p w14:paraId="7C0D02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（1）立项依据充分性（3分）</w:t>
      </w:r>
    </w:p>
    <w:p w14:paraId="2046F5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立项依据符合国家法律法规、国民经济和社会发展规划和相关政策，且项目未与相关部门同类项目或部门内部相关项目重复。根据评分标准，该指标得分3.00分。</w:t>
      </w:r>
    </w:p>
    <w:p w14:paraId="76FC29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（2）立项程序规范性（3分）</w:t>
      </w:r>
    </w:p>
    <w:p w14:paraId="491277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通过核查项目业务资料，我委依据相关文件申请2025年度“南昌市建设高品质服务业聚集发展支持服务建设”项目，编制项目绩效目标申报表，各项提交的文件、材料符合相关要求，项目立项程序规范。根据评分标准，该指标得分3.00分。</w:t>
      </w:r>
    </w:p>
    <w:p w14:paraId="7DCD23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2.绩效目标（4分）</w:t>
      </w:r>
    </w:p>
    <w:p w14:paraId="378EA1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（1）绩效目标合理性（2分）</w:t>
      </w:r>
    </w:p>
    <w:p w14:paraId="52D787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项目绩效目标与项目实施是否相符设立此指标。通过核查项目业务资料，我委依据相关文件申请2025年度“南昌市建设高品质服务业聚集发展支持服务建设”项目绩效目标表，绩效目标与实际工作内容相关，预期产出效益和效果符合正常的业绩水平。根据评分标准，该指标得分2.00分。</w:t>
      </w:r>
    </w:p>
    <w:p w14:paraId="7D9E8D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（2）绩效指标明确性（2分）</w:t>
      </w:r>
    </w:p>
    <w:p w14:paraId="56C16F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通过核查项目业务资料，我委依据相关文件申请2025年度“南昌市建设高品质服务业聚集发展支持服务建设”项目目标清晰，绩效指标与项目目标任务数相对应；但项目效益绩效目标未细化分解为具体的生态、可持续影响等绩效指标，绩效指标与项目目标未完全对应。根据评分标准，该指标得分2.00分。</w:t>
      </w:r>
    </w:p>
    <w:p w14:paraId="4D704D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（二）项目过程情况。</w:t>
      </w:r>
    </w:p>
    <w:p w14:paraId="64AE39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1.资金投入（6分）</w:t>
      </w:r>
    </w:p>
    <w:p w14:paraId="5B80F3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通过核查项目业务资料和财务资料，我委依据相关文件申请2025年度“南昌市建设高品质服务业聚集发展支持服务建设”项目整体工作任务，编制项目预算，取得项目预算700万元，项目预算内容与项目内容相匹配，预算额度测算依据充分，且确定的项目投资额与工作任务相匹配。根据评分标准，该指标得分6.00分。</w:t>
      </w:r>
    </w:p>
    <w:p w14:paraId="6FCED4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2.资金管理（10分）</w:t>
      </w:r>
    </w:p>
    <w:p w14:paraId="14DD15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（1）资金到位率（2分）</w:t>
      </w:r>
    </w:p>
    <w:p w14:paraId="724B2B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通过核查项目财务资料，2025年度“南昌市建设高品质服务业聚集发展支持服务建设”项目预算资金为700万元，截至2025年12月31日，到位资金700万元，预算资金到位率100.00%。根据评分标准，该指标得分2.00分。</w:t>
      </w:r>
    </w:p>
    <w:p w14:paraId="7FE8CD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（2）预算执行率（5分）</w:t>
      </w:r>
    </w:p>
    <w:p w14:paraId="122BEC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通过核查项目财务资料，截至2025年12月31日，项目共计到位资金700万元，2025年度“南昌市建设高品质服务业聚集发展支持服务建设”项目实际支出资金700万元，但由于付款执行及时根据评分标准，该指标得分5分。</w:t>
      </w:r>
    </w:p>
    <w:p w14:paraId="492D9B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（3）资金使用合规性（3分）</w:t>
      </w:r>
    </w:p>
    <w:p w14:paraId="01F93B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通过核查项目业务资料和财务资料，截至2025年12月31日，项目实际支出资金为700万元，各项资金拨付均有完整的审批程序和手续，各项资金支出符合项目预算方向、国家财经法规和财务管理制度以及有关资金管理办法的规定。根据评分标准，该指标得分3.00分。</w:t>
      </w:r>
    </w:p>
    <w:p w14:paraId="3CC608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3.组织实施（4分）</w:t>
      </w:r>
    </w:p>
    <w:p w14:paraId="164E8B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（1）管理制度健全性（2分）</w:t>
      </w:r>
    </w:p>
    <w:p w14:paraId="6CE791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通过核查项目业务资料和财务资料，我委依据部门管理制度和财务制度规定，对项目执行与资金支付进行管理。根据评分标准，该指标得分2.00分。</w:t>
      </w:r>
    </w:p>
    <w:p w14:paraId="7B5E1E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（2）制度执行有效性（2分）</w:t>
      </w:r>
    </w:p>
    <w:p w14:paraId="50B615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通过核查项目业务资料和财务资料，我委严格按照2025年度“南昌市建设高品质服务业聚集发展支持服务建设”项目要求完成平台项目资金；及时将相关纸质、电子资料归档整理，项目制度执行有效。根据评分标准，该指标得分2.00分。</w:t>
      </w:r>
    </w:p>
    <w:p w14:paraId="77FBBB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（三）效益情况（20分）</w:t>
      </w:r>
    </w:p>
    <w:p w14:paraId="23A554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2025年度“南昌市建设高品质服务业聚集发展支持服务建设”项目效益情况，通过核查项目业务资料2025年度“南昌市建设高品质服务业聚集发展支持服务建设”项目，预期效益和全面提高乡镇统计指标，根据评分标准，该指标得19.00分</w:t>
      </w:r>
    </w:p>
    <w:p w14:paraId="67C8D5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（四）服务对象满意度（10分）</w:t>
      </w:r>
    </w:p>
    <w:p w14:paraId="5744DB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为了解南昌县辖区居民对2025年度“南昌市建设高品质服务业聚集发展支持服务建设”项目整体满意度以及为保障项目实施有效性设立此项目标。通过实地面访、电访南昌县辖区居民，了解到南昌县辖区居民对该项目的总体满意度为98.00%。根据评分标准，该指标得10.00分。</w:t>
      </w:r>
    </w:p>
    <w:p w14:paraId="743A79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（三）项目产出情况。</w:t>
      </w:r>
    </w:p>
    <w:p w14:paraId="4C60D5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2025年度“南昌市建设高品质服务业聚集发展支持服务建设”项目情况得分如下：</w:t>
      </w:r>
    </w:p>
    <w:p w14:paraId="70FF8A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1.2025年度“南昌市建设高品质服务业聚集发展支持服务建设”项目产出数量（20分）</w:t>
      </w:r>
    </w:p>
    <w:p w14:paraId="476D1F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通过核查项目业务资料，2025年度“南昌市建设高品质服务业聚集发展支持服务建设”项目完成率100.00%。根据评分标准，该指标得20.00分。</w:t>
      </w:r>
    </w:p>
    <w:p w14:paraId="73E5B5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2.产出质量（10分）</w:t>
      </w:r>
    </w:p>
    <w:p w14:paraId="421119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通过核查项目业务资料，</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南昌市建设高品质服务业聚集发展支持服务建设</w:t>
      </w: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项目有效性为100.00%。根据评分标准，该指标得9.00分。</w:t>
      </w:r>
    </w:p>
    <w:p w14:paraId="36B045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3.产出时效（10分）</w:t>
      </w:r>
    </w:p>
    <w:p w14:paraId="131F27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通过核查项目业务资料，截至2025年12月31日，2025年度“南昌市建设高品质服务业聚集发展支持服务建设”项目实际发生应拨付资金为700万元，及时拨付700万元，资金拨付及时性100.00%，项目资金拨付均及时根据评分标准，该指标得9.00分。</w:t>
      </w:r>
    </w:p>
    <w:p w14:paraId="009724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4.产出成本（10分）</w:t>
      </w:r>
    </w:p>
    <w:p w14:paraId="35DC1B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通过核查项目财务资料，2025年度“南昌市建设高品质服务业聚集发展支持服务建设”项目计划成本为700万元，实际成本700万元，根据评分标准，该指标得9.00分。</w:t>
      </w:r>
    </w:p>
    <w:p w14:paraId="6F3FC9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（四）项目效益情况。</w:t>
      </w:r>
    </w:p>
    <w:p w14:paraId="4C1CFB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2025年度“南昌市建设高品质服务业聚集发展支持服务建设”项目效益情况，通过核查项目业务资料2025年度“南昌市建设高品质服务业聚集发展支持服务建设”项目，预期效益和全面提高</w:t>
      </w:r>
      <w:r>
        <w:rPr>
          <w:rFonts w:hint="default" w:ascii="仿宋_GB2312" w:hAnsi="宋体" w:eastAsia="仿宋_GB2312" w:cs="仿宋_GB2312"/>
          <w:i w:val="0"/>
          <w:iCs w:val="0"/>
          <w:caps w:val="0"/>
          <w:color w:val="000000"/>
          <w:spacing w:val="0"/>
          <w:kern w:val="0"/>
          <w:sz w:val="32"/>
          <w:szCs w:val="32"/>
          <w:bdr w:val="none" w:color="auto" w:sz="0" w:space="0"/>
          <w:lang w:val="en-US" w:eastAsia="zh-CN" w:bidi="ar"/>
        </w:rPr>
        <w:t>“南昌市建设高品质服务业聚集发展支持服务建设”项目</w:t>
      </w: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指标，根据评分标准，该指标得19.00分</w:t>
      </w:r>
    </w:p>
    <w:p w14:paraId="1AE0B6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kern w:val="0"/>
          <w:sz w:val="32"/>
          <w:szCs w:val="32"/>
          <w:bdr w:val="none" w:color="auto" w:sz="0" w:space="0"/>
          <w:lang w:val="en-US" w:eastAsia="zh-CN" w:bidi="ar"/>
        </w:rPr>
        <w:t>五、主要经验及做法、存在的问题及原因分析</w:t>
      </w:r>
    </w:p>
    <w:p w14:paraId="5E6B29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项目支出绩效运行绩效结论、存在的问题两方面。涉及部门年度工作与部门职能、规划的相关程度判断,项目支出绩效运行监控制度保障的完善程度,部门内部控制机制的健全程度,项目支出绩效运行监控资源配置水平和能力等。</w:t>
      </w:r>
    </w:p>
    <w:p w14:paraId="50B9D3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kern w:val="0"/>
          <w:sz w:val="32"/>
          <w:szCs w:val="32"/>
          <w:bdr w:val="none" w:color="auto" w:sz="0" w:space="0"/>
          <w:lang w:val="en-US" w:eastAsia="zh-CN" w:bidi="ar"/>
        </w:rPr>
        <w:t>六、有关建议</w:t>
      </w:r>
    </w:p>
    <w:p w14:paraId="00C8BB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5"/>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项目管理制度是项目整体实施、执行的重要依据，也是项目监控、纠偏的主要标准；因此，应根据项目工作内容，结合项目实际情况以及上级部门印发的相关文件，健全项目管理制度与资金管理办法，有效规范项目实施与资金使用，为项目执行提供充分、全面的依据，加大对项目整体实施的监督力度。</w:t>
      </w:r>
    </w:p>
    <w:p w14:paraId="54F7F9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left"/>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kern w:val="0"/>
          <w:sz w:val="32"/>
          <w:szCs w:val="32"/>
          <w:bdr w:val="none" w:color="auto" w:sz="0" w:space="0"/>
          <w:lang w:val="en-US" w:eastAsia="zh-CN" w:bidi="ar"/>
        </w:rPr>
        <w:t>七、其他需要说明的问题</w:t>
      </w:r>
    </w:p>
    <w:p w14:paraId="7133DD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280"/>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sz w:val="32"/>
          <w:szCs w:val="32"/>
          <w:bdr w:val="none" w:color="auto" w:sz="0" w:space="0"/>
        </w:rPr>
        <w:t>无</w:t>
      </w:r>
    </w:p>
    <w:p w14:paraId="1F3F19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rPr>
          <w:rFonts w:hint="eastAsia" w:ascii="宋体" w:hAnsi="宋体" w:eastAsia="宋体" w:cs="宋体"/>
          <w:i w:val="0"/>
          <w:iCs w:val="0"/>
          <w:caps w:val="0"/>
          <w:color w:val="000000"/>
          <w:spacing w:val="0"/>
          <w:sz w:val="18"/>
          <w:szCs w:val="18"/>
        </w:rPr>
      </w:pPr>
      <w:r>
        <w:rPr>
          <w:rFonts w:hint="eastAsia" w:ascii="黑体" w:hAnsi="宋体" w:eastAsia="黑体" w:cs="黑体"/>
          <w:i w:val="0"/>
          <w:iCs w:val="0"/>
          <w:caps w:val="0"/>
          <w:color w:val="000000"/>
          <w:spacing w:val="0"/>
          <w:sz w:val="32"/>
          <w:szCs w:val="32"/>
          <w:bdr w:val="none" w:color="auto" w:sz="0" w:space="0"/>
        </w:rPr>
        <w:t>八、项目支出绩效评价指标评分表</w:t>
      </w:r>
    </w:p>
    <w:p w14:paraId="3B8711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1302"/>
        <w:jc w:val="left"/>
        <w:rPr>
          <w:rFonts w:hint="eastAsia" w:ascii="宋体" w:hAnsi="宋体" w:eastAsia="宋体" w:cs="宋体"/>
          <w:i w:val="0"/>
          <w:iCs w:val="0"/>
          <w:caps w:val="0"/>
          <w:color w:val="000000"/>
          <w:spacing w:val="0"/>
          <w:sz w:val="18"/>
          <w:szCs w:val="18"/>
        </w:rPr>
      </w:pPr>
      <w:r>
        <w:rPr>
          <w:rFonts w:hint="eastAsia" w:ascii="仿宋" w:hAnsi="仿宋" w:eastAsia="仿宋" w:cs="仿宋"/>
          <w:b w:val="0"/>
          <w:bCs w:val="0"/>
          <w:i w:val="0"/>
          <w:iCs w:val="0"/>
          <w:caps w:val="0"/>
          <w:color w:val="000000"/>
          <w:spacing w:val="0"/>
          <w:kern w:val="0"/>
          <w:sz w:val="32"/>
          <w:szCs w:val="32"/>
          <w:bdr w:val="none" w:color="auto" w:sz="0" w:space="0"/>
          <w:lang w:val="en-US" w:eastAsia="zh-CN" w:bidi="ar"/>
        </w:rPr>
        <w:t>见附件2-2</w:t>
      </w:r>
    </w:p>
    <w:p w14:paraId="5C9C50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宋体" w:hAnsi="宋体" w:eastAsia="宋体" w:cs="宋体"/>
          <w:i w:val="0"/>
          <w:iCs w:val="0"/>
          <w:caps w:val="0"/>
          <w:color w:val="000000"/>
          <w:spacing w:val="0"/>
          <w:sz w:val="18"/>
          <w:szCs w:val="18"/>
        </w:rPr>
      </w:pPr>
      <w:r>
        <w:rPr>
          <w:rFonts w:ascii="Calibri" w:hAnsi="Calibri" w:eastAsia="宋体" w:cs="Calibri"/>
          <w:i w:val="0"/>
          <w:iCs w:val="0"/>
          <w:caps w:val="0"/>
          <w:color w:val="000000"/>
          <w:spacing w:val="0"/>
          <w:kern w:val="0"/>
          <w:sz w:val="21"/>
          <w:szCs w:val="21"/>
          <w:bdr w:val="none" w:color="auto" w:sz="0" w:space="0"/>
          <w:lang w:val="en-US" w:eastAsia="zh-CN" w:bidi="ar"/>
        </w:rPr>
        <w:t> </w:t>
      </w:r>
    </w:p>
    <w:p w14:paraId="28C403B8">
      <w:bookmarkStart w:id="0" w:name="_GoBack"/>
      <w:bookmarkEnd w:id="0"/>
    </w:p>
    <w:sectPr>
      <w:footerReference r:id="rId3" w:type="default"/>
      <w:pgSz w:w="11850" w:h="16783"/>
      <w:pgMar w:top="2098" w:right="1474" w:bottom="1984" w:left="1588" w:header="851" w:footer="992" w:gutter="0"/>
      <w:cols w:space="720" w:num="1"/>
      <w:docGrid w:type="lines" w:linePitch="57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9EA0B79-696E-46B2-81C2-31FA8A91A51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A568D77-AA79-4741-81E6-8D544320E7B3}"/>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49E0EE5D-7B6F-4413-B065-6A696C835FB5}"/>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4" w:fontKey="{B23A6524-C92A-450F-9851-EFF0CF16F4BD}"/>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embedRegular r:id="rId5" w:fontKey="{D0455CE7-F47F-4D7E-989A-7E9819FB7FC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960D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28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784"/>
    <w:rsid w:val="000B33C0"/>
    <w:rsid w:val="000B691E"/>
    <w:rsid w:val="000C0B44"/>
    <w:rsid w:val="00126ED9"/>
    <w:rsid w:val="001D310A"/>
    <w:rsid w:val="00375D46"/>
    <w:rsid w:val="00396310"/>
    <w:rsid w:val="003B65A3"/>
    <w:rsid w:val="003C6065"/>
    <w:rsid w:val="00490208"/>
    <w:rsid w:val="0052795B"/>
    <w:rsid w:val="00662EAD"/>
    <w:rsid w:val="008829DE"/>
    <w:rsid w:val="0092664C"/>
    <w:rsid w:val="00A43E30"/>
    <w:rsid w:val="00A4501F"/>
    <w:rsid w:val="00AC5AEF"/>
    <w:rsid w:val="00B3247A"/>
    <w:rsid w:val="00C76EDD"/>
    <w:rsid w:val="00C8174E"/>
    <w:rsid w:val="00D237F2"/>
    <w:rsid w:val="00DC32BF"/>
    <w:rsid w:val="00DD564C"/>
    <w:rsid w:val="00DF1DA4"/>
    <w:rsid w:val="00E30C6E"/>
    <w:rsid w:val="00EC1784"/>
    <w:rsid w:val="00F31D47"/>
    <w:rsid w:val="0823731D"/>
    <w:rsid w:val="09324C4C"/>
    <w:rsid w:val="0ABB440A"/>
    <w:rsid w:val="0DB34406"/>
    <w:rsid w:val="22EE6B92"/>
    <w:rsid w:val="2469314C"/>
    <w:rsid w:val="2ED23616"/>
    <w:rsid w:val="3D9A0278"/>
    <w:rsid w:val="443048A8"/>
    <w:rsid w:val="490B1C4D"/>
    <w:rsid w:val="584C7F9E"/>
    <w:rsid w:val="65606AEC"/>
    <w:rsid w:val="69C205F7"/>
    <w:rsid w:val="74D6127F"/>
    <w:rsid w:val="77C16C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qFormat/>
    <w:uiPriority w:val="99"/>
    <w:pPr>
      <w:keepNext/>
      <w:keepLines/>
      <w:spacing w:line="413" w:lineRule="auto"/>
      <w:outlineLvl w:val="2"/>
    </w:pPr>
    <w:rPr>
      <w:b/>
      <w:bCs/>
      <w:sz w:val="32"/>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szCs w:val="21"/>
    </w:rPr>
  </w:style>
  <w:style w:type="paragraph" w:styleId="4">
    <w:name w:val="footer"/>
    <w:basedOn w:val="1"/>
    <w:link w:val="12"/>
    <w:qFormat/>
    <w:uiPriority w:val="0"/>
    <w:pPr>
      <w:tabs>
        <w:tab w:val="center" w:pos="4153"/>
        <w:tab w:val="right" w:pos="8306"/>
      </w:tabs>
      <w:snapToGrid w:val="0"/>
      <w:jc w:val="left"/>
    </w:pPr>
    <w:rPr>
      <w:sz w:val="18"/>
    </w:rPr>
  </w:style>
  <w:style w:type="paragraph" w:styleId="5">
    <w:name w:val="header"/>
    <w:basedOn w:val="1"/>
    <w:link w:val="1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character" w:customStyle="1" w:styleId="11">
    <w:name w:val="页眉 Char"/>
    <w:basedOn w:val="9"/>
    <w:link w:val="5"/>
    <w:qFormat/>
    <w:uiPriority w:val="0"/>
    <w:rPr>
      <w:rFonts w:hint="default" w:ascii="Calibri" w:hAnsi="Calibri" w:cs="Calibri"/>
      <w:kern w:val="2"/>
      <w:sz w:val="18"/>
      <w:szCs w:val="18"/>
    </w:rPr>
  </w:style>
  <w:style w:type="character" w:customStyle="1" w:styleId="12">
    <w:name w:val="页脚 Char"/>
    <w:basedOn w:val="9"/>
    <w:link w:val="4"/>
    <w:qFormat/>
    <w:uiPriority w:val="0"/>
    <w:rPr>
      <w:rFonts w:hint="default" w:ascii="Calibri" w:hAnsi="Calibri" w:cs="Calibri"/>
      <w:kern w:val="2"/>
      <w:sz w:val="18"/>
      <w:szCs w:val="18"/>
    </w:rPr>
  </w:style>
  <w:style w:type="paragraph" w:customStyle="1" w:styleId="13">
    <w:name w:val="msolistparagraph"/>
    <w:basedOn w:val="1"/>
    <w:qFormat/>
    <w:uiPriority w:val="0"/>
    <w:pPr>
      <w:ind w:firstLine="420" w:firstLineChars="200"/>
    </w:pPr>
    <w:rPr>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10</Pages>
  <Words>3878</Words>
  <Characters>4112</Characters>
  <Lines>2</Lines>
  <Paragraphs>1</Paragraphs>
  <TotalTime>2</TotalTime>
  <ScaleCrop>false</ScaleCrop>
  <LinksUpToDate>false</LinksUpToDate>
  <CharactersWithSpaces>4122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2025-01-13T06:52:00Z</dcterms:created>
  <dc:creator>Administrator</dc:creator>
  <cp:lastModifiedBy>WPS_695079399</cp:lastModifiedBy>
  <dcterms:modified xsi:type="dcterms:W3CDTF">2026-04-30T01:44:01Z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eyJoZGlkIjoiZTRjM2UzYTEwNzU1ZWM0NTg0OTg0MTVkMzBmZjhkZTIiLCJ1c2VySWQiOiI2OTUwNzkzOTkifQ==</vt:lpwstr>
  </property>
  <property fmtid="{D5CDD505-2E9C-101B-9397-08002B2CF9AE}" pid="4" name="ICV">
    <vt:lpwstr>5883B0EE0135492480D7EE5E4C4362E2_13</vt:lpwstr>
  </property>
</Properties>
</file>