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B33CC">
      <w:pPr>
        <w:autoSpaceDE w:val="0"/>
        <w:autoSpaceDN w:val="0"/>
        <w:adjustRightInd w:val="0"/>
        <w:spacing w:line="560" w:lineRule="exact"/>
        <w:jc w:val="left"/>
        <w:rPr>
          <w:rFonts w:ascii="黑体" w:hAnsi="Times New Roman" w:eastAsia="黑体" w:cs="黑体"/>
          <w:kern w:val="0"/>
          <w:szCs w:val="32"/>
        </w:rPr>
      </w:pPr>
      <w:r>
        <w:rPr>
          <w:rFonts w:hint="eastAsia" w:ascii="黑体" w:hAnsi="Times New Roman" w:eastAsia="黑体" w:cs="黑体"/>
          <w:kern w:val="0"/>
          <w:sz w:val="32"/>
          <w:szCs w:val="32"/>
        </w:rPr>
        <w:t>附件3-1：</w:t>
      </w:r>
    </w:p>
    <w:p w14:paraId="154A5C4D">
      <w:pPr>
        <w:autoSpaceDE w:val="0"/>
        <w:autoSpaceDN w:val="0"/>
        <w:adjustRightInd w:val="0"/>
        <w:spacing w:line="560" w:lineRule="exact"/>
        <w:jc w:val="center"/>
        <w:rPr>
          <w:rFonts w:ascii="方正小标宋简体" w:hAnsi="方正小标宋简体" w:eastAsia="方正小标宋简体" w:cs="FZXBSJW--GB1-0"/>
          <w:kern w:val="0"/>
          <w:sz w:val="36"/>
          <w:szCs w:val="36"/>
        </w:rPr>
      </w:pPr>
    </w:p>
    <w:p w14:paraId="7D0238AF">
      <w:pPr>
        <w:autoSpaceDE w:val="0"/>
        <w:autoSpaceDN w:val="0"/>
        <w:adjustRightInd w:val="0"/>
        <w:spacing w:line="560" w:lineRule="exact"/>
        <w:jc w:val="center"/>
        <w:rPr>
          <w:rFonts w:ascii="方正小标宋简体" w:hAnsi="方正小标宋简体" w:eastAsia="方正小标宋简体" w:cs="FZXBSJW--GB1-0"/>
          <w:kern w:val="0"/>
          <w:sz w:val="36"/>
          <w:szCs w:val="36"/>
        </w:rPr>
      </w:pPr>
      <w:r>
        <w:rPr>
          <w:rFonts w:hint="eastAsia" w:ascii="方正小标宋简体" w:hAnsi="方正小标宋简体" w:eastAsia="方正小标宋简体" w:cs="FZXBSJW--GB1-0"/>
          <w:kern w:val="0"/>
          <w:sz w:val="36"/>
          <w:szCs w:val="36"/>
        </w:rPr>
        <w:t>单位整体支出部门评价报告</w:t>
      </w:r>
    </w:p>
    <w:p w14:paraId="47595CB5">
      <w:pPr>
        <w:autoSpaceDE w:val="0"/>
        <w:autoSpaceDN w:val="0"/>
        <w:adjustRightInd w:val="0"/>
        <w:spacing w:line="560" w:lineRule="exact"/>
        <w:jc w:val="center"/>
        <w:rPr>
          <w:rFonts w:ascii="楷体_GB2312" w:eastAsia="楷体_GB2312" w:cs="楷体_GB2312"/>
          <w:kern w:val="0"/>
          <w:szCs w:val="32"/>
        </w:rPr>
      </w:pPr>
      <w:r>
        <w:rPr>
          <w:rFonts w:hint="eastAsia" w:ascii="楷体_GB2312" w:hAnsi="Times New Roman" w:eastAsia="楷体_GB2312" w:cs="楷体_GB2312"/>
          <w:kern w:val="0"/>
          <w:sz w:val="32"/>
          <w:szCs w:val="32"/>
        </w:rPr>
        <w:t xml:space="preserve">（ </w:t>
      </w:r>
      <w:r>
        <w:rPr>
          <w:rFonts w:hint="eastAsia" w:ascii="楷体_GB2312" w:hAnsi="Times New Roman" w:eastAsia="楷体_GB2312" w:cs="楷体_GB2312"/>
          <w:kern w:val="0"/>
          <w:sz w:val="32"/>
          <w:szCs w:val="32"/>
          <w:lang w:val="en-US" w:eastAsia="zh-CN"/>
        </w:rPr>
        <w:t>2025</w:t>
      </w:r>
      <w:r>
        <w:rPr>
          <w:rFonts w:hint="eastAsia" w:ascii="楷体_GB2312" w:hAnsi="Times New Roman" w:eastAsia="楷体_GB2312" w:cs="楷体_GB2312"/>
          <w:kern w:val="0"/>
          <w:sz w:val="32"/>
          <w:szCs w:val="32"/>
        </w:rPr>
        <w:t>年度）</w:t>
      </w:r>
    </w:p>
    <w:p w14:paraId="34F1F817">
      <w:pPr>
        <w:autoSpaceDE w:val="0"/>
        <w:autoSpaceDN w:val="0"/>
        <w:adjustRightInd w:val="0"/>
        <w:spacing w:line="560" w:lineRule="exact"/>
        <w:ind w:firstLine="640" w:firstLineChars="200"/>
        <w:jc w:val="left"/>
        <w:rPr>
          <w:rFonts w:ascii="黑体" w:hAnsi="Times New Roman" w:eastAsia="黑体" w:cs="黑体"/>
          <w:kern w:val="0"/>
          <w:szCs w:val="32"/>
        </w:rPr>
      </w:pPr>
      <w:r>
        <w:rPr>
          <w:rFonts w:hint="eastAsia" w:ascii="黑体" w:hAnsi="Times New Roman" w:eastAsia="黑体" w:cs="黑体"/>
          <w:kern w:val="0"/>
          <w:sz w:val="32"/>
          <w:szCs w:val="32"/>
        </w:rPr>
        <w:t>一、单位概况</w:t>
      </w:r>
    </w:p>
    <w:p w14:paraId="7387C0F7">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（一）单位主要职责职能，组织架构、人员及资产等基本情况</w:t>
      </w:r>
    </w:p>
    <w:p w14:paraId="5761FC2E">
      <w:pPr>
        <w:spacing w:line="560" w:lineRule="exact"/>
        <w:ind w:firstLine="6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1.</w:t>
      </w:r>
      <w:r>
        <w:rPr>
          <w:rFonts w:hint="eastAsia" w:ascii="仿宋" w:hAnsi="仿宋" w:eastAsia="仿宋" w:cs="仿宋"/>
          <w:b w:val="0"/>
          <w:bCs w:val="0"/>
          <w:color w:val="000000"/>
          <w:sz w:val="32"/>
          <w:szCs w:val="32"/>
        </w:rPr>
        <w:t>组织领导和监督检查各乡镇（街道办、管理处）、县直各部门的统计工作；组织宣传、贯彻统计法律法规；查处统计违法案件；监督检查统计法律法规的实施。</w:t>
      </w:r>
    </w:p>
    <w:p w14:paraId="3E6DE212">
      <w:pPr>
        <w:spacing w:line="560" w:lineRule="exact"/>
        <w:ind w:firstLine="6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2.</w:t>
      </w:r>
      <w:r>
        <w:rPr>
          <w:rFonts w:hint="eastAsia" w:ascii="仿宋" w:hAnsi="仿宋" w:eastAsia="仿宋" w:cs="仿宋"/>
          <w:b w:val="0"/>
          <w:bCs w:val="0"/>
          <w:color w:val="000000"/>
          <w:sz w:val="32"/>
          <w:szCs w:val="32"/>
        </w:rPr>
        <w:t>建立健全全县国民经济核算体系、统计指标体系、统计调查体系；贯彻执行国家、省、市统计标准，补充制定地方统计标准。</w:t>
      </w:r>
    </w:p>
    <w:p w14:paraId="6BB529EF">
      <w:pPr>
        <w:spacing w:line="560" w:lineRule="exact"/>
        <w:ind w:firstLine="660"/>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w:t>
      </w:r>
      <w:r>
        <w:rPr>
          <w:rFonts w:hint="eastAsia" w:ascii="仿宋" w:hAnsi="仿宋" w:eastAsia="仿宋" w:cs="仿宋"/>
          <w:b w:val="0"/>
          <w:bCs w:val="0"/>
          <w:color w:val="000000"/>
          <w:sz w:val="32"/>
          <w:szCs w:val="32"/>
        </w:rPr>
        <w:t>按照国家、省、市的统一部署和县委、县政府的要求，组织全县重大国情国力普查。组织完成国务院统一布置的农业、人口、经济普查和基本单位普查；投入产出调查、1%人口抽样调查等专项调查。</w:t>
      </w:r>
      <w:r>
        <w:rPr>
          <w:rFonts w:hint="eastAsia" w:ascii="仿宋" w:hAnsi="仿宋" w:eastAsia="仿宋" w:cs="仿宋"/>
          <w:b w:val="0"/>
          <w:bCs w:val="0"/>
          <w:color w:val="000000"/>
          <w:sz w:val="32"/>
          <w:szCs w:val="32"/>
          <w:lang w:val="en-US" w:eastAsia="zh-CN"/>
        </w:rPr>
        <w:t xml:space="preserve">      </w:t>
      </w:r>
    </w:p>
    <w:p w14:paraId="0FBE154B">
      <w:pPr>
        <w:spacing w:line="560" w:lineRule="exact"/>
        <w:ind w:firstLine="6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4.</w:t>
      </w:r>
      <w:r>
        <w:rPr>
          <w:rFonts w:hint="eastAsia" w:ascii="仿宋" w:hAnsi="仿宋" w:eastAsia="仿宋" w:cs="仿宋"/>
          <w:b w:val="0"/>
          <w:bCs w:val="0"/>
          <w:color w:val="000000"/>
          <w:sz w:val="32"/>
          <w:szCs w:val="32"/>
        </w:rPr>
        <w:t>收集、汇总、整理、提供基本统计资料；对国民经济、社会发展和科技进步情况进行统计分析、统计预测和统计监督，向县委、县政府及有关部门提供统计信息和建议。</w:t>
      </w:r>
    </w:p>
    <w:p w14:paraId="31F8C87F">
      <w:pPr>
        <w:spacing w:line="560" w:lineRule="exact"/>
        <w:ind w:firstLine="6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5.</w:t>
      </w:r>
      <w:r>
        <w:rPr>
          <w:rFonts w:hint="eastAsia" w:ascii="仿宋" w:hAnsi="仿宋" w:eastAsia="仿宋" w:cs="仿宋"/>
          <w:b w:val="0"/>
          <w:bCs w:val="0"/>
          <w:color w:val="000000"/>
          <w:sz w:val="32"/>
          <w:szCs w:val="32"/>
        </w:rPr>
        <w:t>统一核定、管理、公布全县性统计资料，定期发布全县国民经济和社会发展统计公报、指导、协调统计信息咨询工作。</w:t>
      </w:r>
    </w:p>
    <w:p w14:paraId="49F5765E">
      <w:pPr>
        <w:spacing w:line="560" w:lineRule="exact"/>
        <w:ind w:firstLine="6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6.</w:t>
      </w:r>
      <w:r>
        <w:rPr>
          <w:rFonts w:hint="eastAsia" w:ascii="仿宋" w:hAnsi="仿宋" w:eastAsia="仿宋" w:cs="仿宋"/>
          <w:b w:val="0"/>
          <w:bCs w:val="0"/>
          <w:color w:val="000000"/>
          <w:sz w:val="32"/>
          <w:szCs w:val="32"/>
        </w:rPr>
        <w:t>组织管理全县统计干部业务培训和统计人员培训工作。</w:t>
      </w:r>
    </w:p>
    <w:p w14:paraId="53B7A915">
      <w:pPr>
        <w:spacing w:line="560" w:lineRule="exact"/>
        <w:ind w:firstLine="6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7.</w:t>
      </w:r>
      <w:r>
        <w:rPr>
          <w:rFonts w:hint="eastAsia" w:ascii="仿宋" w:hAnsi="仿宋" w:eastAsia="仿宋" w:cs="仿宋"/>
          <w:b w:val="0"/>
          <w:bCs w:val="0"/>
          <w:color w:val="000000"/>
          <w:sz w:val="32"/>
          <w:szCs w:val="32"/>
        </w:rPr>
        <w:t>承办县人民政府交办的其他事项。</w:t>
      </w:r>
    </w:p>
    <w:p w14:paraId="39C39F5B">
      <w:pPr>
        <w:spacing w:line="560" w:lineRule="exact"/>
        <w:ind w:firstLine="645"/>
      </w:pPr>
      <w:r>
        <w:rPr>
          <w:rFonts w:hint="eastAsia" w:ascii="仿宋" w:hAnsi="仿宋" w:eastAsia="仿宋" w:cs="仿宋"/>
          <w:b w:val="0"/>
          <w:bCs w:val="0"/>
          <w:color w:val="000000"/>
          <w:sz w:val="32"/>
          <w:szCs w:val="32"/>
          <w:lang w:val="en-US" w:eastAsia="zh-CN"/>
        </w:rPr>
        <w:t>县统计局共有预算单位一个，包括局本级和0个所属二级预算单位，其中行政机关1个：即南昌县统计局；参照公务员管理的事业单位0个；全额拨款事业单位0个，差额拨款事业单位0个，自收自支事业单位0个。编制人数为44个，其中行政编制14人，全部补助事业编制30人，部分补助事业编制0人，自收自支事业编制0人；实有人数77人，其中在职人员53人，包括行政人员12人，全部补助事业人员25人、部分补助事业人员0人，离休人员0人，退休人员13人，遗属人数3人</w:t>
      </w:r>
      <w:r>
        <w:rPr>
          <w:rFonts w:hint="eastAsia" w:ascii="仿宋" w:hAnsi="仿宋" w:eastAsia="仿宋" w:cs="仿宋"/>
          <w:b w:val="0"/>
          <w:bCs w:val="0"/>
          <w:color w:val="000000"/>
          <w:sz w:val="28"/>
          <w:szCs w:val="28"/>
          <w:lang w:val="en-US" w:eastAsia="zh-CN"/>
        </w:rPr>
        <w:t>。</w:t>
      </w:r>
    </w:p>
    <w:p w14:paraId="6A571CE4">
      <w:pPr>
        <w:numPr>
          <w:ilvl w:val="0"/>
          <w:numId w:val="1"/>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当年单位履职总体目标、工作任务</w:t>
      </w:r>
    </w:p>
    <w:p w14:paraId="22E09C7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始终把统计基层基础作为事关统计事业长远发展的大计来抓。</w:t>
      </w:r>
      <w:r>
        <w:rPr>
          <w:rFonts w:hint="eastAsia" w:ascii="仿宋_GB2312" w:hAnsi="仿宋_GB2312" w:eastAsia="仿宋_GB2312" w:cs="仿宋_GB2312"/>
          <w:b w:val="0"/>
          <w:bCs w:val="0"/>
          <w:color w:val="auto"/>
          <w:sz w:val="32"/>
          <w:szCs w:val="32"/>
          <w:lang w:eastAsia="zh-CN"/>
        </w:rPr>
        <w:t>坚持多点发力，持续用力，久久为功，切实夯实统计基层基础。</w:t>
      </w:r>
      <w:r>
        <w:rPr>
          <w:rFonts w:hint="eastAsia" w:ascii="仿宋_GB2312" w:hAnsi="仿宋_GB2312" w:eastAsia="仿宋_GB2312" w:cs="仿宋_GB2312"/>
          <w:b w:val="0"/>
          <w:bCs w:val="0"/>
          <w:color w:val="auto"/>
          <w:spacing w:val="6"/>
          <w:sz w:val="32"/>
          <w:szCs w:val="32"/>
          <w:lang w:val="en-US" w:eastAsia="zh-CN"/>
        </w:rPr>
        <w:t>一是扎实推进企业电子统计台账。成立工作专班，</w:t>
      </w:r>
      <w:r>
        <w:rPr>
          <w:rFonts w:hint="eastAsia" w:ascii="仿宋_GB2312" w:hAnsi="仿宋_GB2312" w:eastAsia="仿宋_GB2312" w:cs="仿宋_GB2312"/>
          <w:b w:val="0"/>
          <w:bCs w:val="0"/>
          <w:color w:val="000000"/>
          <w:spacing w:val="6"/>
          <w:sz w:val="32"/>
          <w:szCs w:val="32"/>
          <w:lang w:val="en-US" w:eastAsia="zh-CN"/>
        </w:rPr>
        <w:t>制定并印发《南昌县企业电子统计台账推广工作方案》，</w:t>
      </w:r>
      <w:r>
        <w:rPr>
          <w:rFonts w:hint="eastAsia" w:ascii="仿宋_GB2312" w:hAnsi="仿宋_GB2312" w:eastAsia="仿宋_GB2312" w:cs="仿宋_GB2312"/>
          <w:b w:val="0"/>
          <w:bCs w:val="0"/>
          <w:sz w:val="32"/>
          <w:szCs w:val="32"/>
          <w:lang w:val="en-US" w:eastAsia="zh-CN"/>
        </w:rPr>
        <w:t>将“四上”企业统计电子台账工作纳入企业统计补贴发放标准，认真组织培训，做好进度监测，及时督促指导，严格按照时序节点，完成好统计电子台账推广工作。全县正常填报企业的数量1649家，截至目前，累计正常填报企业数1559家，填报率94.54%。</w:t>
      </w:r>
      <w:r>
        <w:rPr>
          <w:rFonts w:hint="eastAsia" w:ascii="仿宋_GB2312" w:hAnsi="仿宋_GB2312" w:eastAsia="仿宋_GB2312" w:cs="仿宋_GB2312"/>
          <w:b w:val="0"/>
          <w:bCs w:val="0"/>
          <w:color w:val="auto"/>
          <w:spacing w:val="6"/>
          <w:sz w:val="32"/>
          <w:szCs w:val="32"/>
          <w:lang w:val="en-US" w:eastAsia="zh-CN"/>
        </w:rPr>
        <w:t>二是强化业务培训指导。</w:t>
      </w:r>
      <w:r>
        <w:rPr>
          <w:rFonts w:hint="eastAsia" w:ascii="仿宋_GB2312" w:hAnsi="仿宋_GB2312" w:eastAsia="仿宋_GB2312" w:cs="仿宋_GB2312"/>
          <w:b w:val="0"/>
          <w:bCs w:val="0"/>
          <w:color w:val="auto"/>
          <w:spacing w:val="6"/>
          <w:sz w:val="32"/>
          <w:szCs w:val="32"/>
          <w:lang w:eastAsia="zh-CN"/>
        </w:rPr>
        <w:t>牵头组织了</w:t>
      </w:r>
      <w:r>
        <w:rPr>
          <w:rFonts w:hint="eastAsia" w:ascii="仿宋_GB2312" w:hAnsi="仿宋_GB2312" w:eastAsia="仿宋_GB2312" w:cs="仿宋_GB2312"/>
          <w:b w:val="0"/>
          <w:bCs w:val="0"/>
          <w:color w:val="auto"/>
          <w:spacing w:val="6"/>
          <w:sz w:val="32"/>
          <w:szCs w:val="32"/>
          <w:lang w:val="en-US" w:eastAsia="zh-CN"/>
        </w:rPr>
        <w:t>针对乡镇、行业主管部门、企业</w:t>
      </w:r>
      <w:r>
        <w:rPr>
          <w:rFonts w:hint="eastAsia" w:ascii="仿宋_GB2312" w:hAnsi="仿宋_GB2312" w:eastAsia="仿宋_GB2312" w:cs="仿宋_GB2312"/>
          <w:b w:val="0"/>
          <w:bCs w:val="0"/>
          <w:color w:val="auto"/>
          <w:spacing w:val="6"/>
          <w:sz w:val="32"/>
          <w:szCs w:val="32"/>
          <w:lang w:eastAsia="zh-CN"/>
        </w:rPr>
        <w:t>统计知识</w:t>
      </w:r>
      <w:r>
        <w:rPr>
          <w:rFonts w:hint="eastAsia" w:ascii="仿宋_GB2312" w:hAnsi="仿宋_GB2312" w:eastAsia="仿宋_GB2312" w:cs="仿宋_GB2312"/>
          <w:b w:val="0"/>
          <w:bCs w:val="0"/>
          <w:color w:val="auto"/>
          <w:spacing w:val="6"/>
          <w:sz w:val="32"/>
          <w:szCs w:val="32"/>
          <w:lang w:val="en-US" w:eastAsia="zh-CN"/>
        </w:rPr>
        <w:t>大</w:t>
      </w:r>
      <w:r>
        <w:rPr>
          <w:rFonts w:hint="eastAsia" w:ascii="仿宋_GB2312" w:hAnsi="仿宋_GB2312" w:eastAsia="仿宋_GB2312" w:cs="仿宋_GB2312"/>
          <w:b w:val="0"/>
          <w:bCs w:val="0"/>
          <w:color w:val="auto"/>
          <w:spacing w:val="6"/>
          <w:sz w:val="32"/>
          <w:szCs w:val="32"/>
          <w:lang w:eastAsia="zh-CN"/>
        </w:rPr>
        <w:t>培训，由各专业负责人授课，</w:t>
      </w:r>
      <w:r>
        <w:rPr>
          <w:rFonts w:hint="eastAsia" w:ascii="仿宋_GB2312" w:hAnsi="仿宋_GB2312" w:eastAsia="仿宋_GB2312" w:cs="仿宋_GB2312"/>
          <w:b w:val="0"/>
          <w:bCs w:val="0"/>
          <w:color w:val="auto"/>
          <w:spacing w:val="6"/>
          <w:sz w:val="32"/>
          <w:szCs w:val="32"/>
          <w:lang w:val="en-US" w:eastAsia="zh-CN"/>
        </w:rPr>
        <w:t>促使乡镇、行业主管部门</w:t>
      </w:r>
      <w:r>
        <w:rPr>
          <w:rFonts w:hint="eastAsia" w:ascii="仿宋_GB2312" w:hAnsi="仿宋_GB2312" w:eastAsia="仿宋_GB2312" w:cs="仿宋_GB2312"/>
          <w:b w:val="0"/>
          <w:bCs w:val="0"/>
          <w:color w:val="auto"/>
          <w:spacing w:val="6"/>
          <w:sz w:val="32"/>
          <w:szCs w:val="32"/>
        </w:rPr>
        <w:t>和企业统计人员</w:t>
      </w:r>
      <w:r>
        <w:rPr>
          <w:rFonts w:hint="eastAsia" w:ascii="仿宋_GB2312" w:hAnsi="仿宋_GB2312" w:eastAsia="仿宋_GB2312" w:cs="仿宋_GB2312"/>
          <w:b w:val="0"/>
          <w:bCs w:val="0"/>
          <w:color w:val="auto"/>
          <w:spacing w:val="6"/>
          <w:sz w:val="32"/>
          <w:szCs w:val="32"/>
          <w:lang w:val="en-US" w:eastAsia="zh-CN"/>
        </w:rPr>
        <w:t>掌握</w:t>
      </w:r>
      <w:r>
        <w:rPr>
          <w:rFonts w:hint="eastAsia" w:ascii="仿宋_GB2312" w:hAnsi="仿宋_GB2312" w:eastAsia="仿宋_GB2312" w:cs="仿宋_GB2312"/>
          <w:b w:val="0"/>
          <w:bCs w:val="0"/>
          <w:color w:val="auto"/>
          <w:spacing w:val="6"/>
          <w:sz w:val="32"/>
          <w:szCs w:val="32"/>
        </w:rPr>
        <w:t>统计政策，熟悉调查方法，理解统计指标</w:t>
      </w:r>
      <w:r>
        <w:rPr>
          <w:rFonts w:hint="eastAsia" w:ascii="仿宋_GB2312" w:hAnsi="仿宋_GB2312" w:eastAsia="仿宋_GB2312" w:cs="仿宋_GB2312"/>
          <w:b w:val="0"/>
          <w:bCs w:val="0"/>
          <w:color w:val="auto"/>
          <w:spacing w:val="6"/>
          <w:sz w:val="32"/>
          <w:szCs w:val="32"/>
          <w:lang w:eastAsia="zh-CN"/>
        </w:rPr>
        <w:t>。</w:t>
      </w:r>
      <w:r>
        <w:rPr>
          <w:rFonts w:hint="eastAsia" w:ascii="仿宋_GB2312" w:hAnsi="仿宋_GB2312" w:eastAsia="仿宋_GB2312" w:cs="仿宋_GB2312"/>
          <w:b w:val="0"/>
          <w:bCs w:val="0"/>
          <w:color w:val="auto"/>
          <w:spacing w:val="6"/>
          <w:sz w:val="32"/>
          <w:szCs w:val="32"/>
          <w:lang w:val="en-US" w:eastAsia="zh-CN"/>
        </w:rPr>
        <w:t>今年以来，牵头组织各乡镇培训4次、参训100余人次，相关县直单位培训2次，参训30余人次，企业培训4次、参训2000余人次，</w:t>
      </w:r>
      <w:r>
        <w:rPr>
          <w:rFonts w:hint="eastAsia" w:ascii="仿宋_GB2312" w:hAnsi="仿宋_GB2312" w:eastAsia="仿宋_GB2312" w:cs="仿宋_GB2312"/>
          <w:b w:val="0"/>
          <w:bCs w:val="0"/>
          <w:color w:val="auto"/>
          <w:spacing w:val="6"/>
          <w:sz w:val="32"/>
          <w:szCs w:val="32"/>
        </w:rPr>
        <w:t>全面提升</w:t>
      </w:r>
      <w:r>
        <w:rPr>
          <w:rFonts w:hint="eastAsia" w:ascii="仿宋_GB2312" w:hAnsi="仿宋_GB2312" w:eastAsia="仿宋_GB2312" w:cs="仿宋_GB2312"/>
          <w:b w:val="0"/>
          <w:bCs w:val="0"/>
          <w:color w:val="auto"/>
          <w:spacing w:val="6"/>
          <w:sz w:val="32"/>
          <w:szCs w:val="32"/>
          <w:lang w:val="en-US" w:eastAsia="zh-CN"/>
        </w:rPr>
        <w:t>统计人员的</w:t>
      </w:r>
      <w:r>
        <w:rPr>
          <w:rFonts w:hint="eastAsia" w:ascii="仿宋_GB2312" w:hAnsi="仿宋_GB2312" w:eastAsia="仿宋_GB2312" w:cs="仿宋_GB2312"/>
          <w:b w:val="0"/>
          <w:bCs w:val="0"/>
          <w:color w:val="auto"/>
          <w:spacing w:val="6"/>
          <w:sz w:val="32"/>
          <w:szCs w:val="32"/>
        </w:rPr>
        <w:t>业务水平</w:t>
      </w:r>
      <w:r>
        <w:rPr>
          <w:rFonts w:hint="eastAsia" w:ascii="仿宋_GB2312" w:hAnsi="仿宋_GB2312" w:eastAsia="仿宋_GB2312" w:cs="仿宋_GB2312"/>
          <w:b w:val="0"/>
          <w:bCs w:val="0"/>
          <w:color w:val="auto"/>
          <w:spacing w:val="6"/>
          <w:sz w:val="32"/>
          <w:szCs w:val="32"/>
          <w:lang w:val="en-US" w:eastAsia="zh-CN"/>
        </w:rPr>
        <w:t>和</w:t>
      </w:r>
      <w:r>
        <w:rPr>
          <w:rFonts w:hint="eastAsia" w:ascii="仿宋_GB2312" w:hAnsi="仿宋_GB2312" w:eastAsia="仿宋_GB2312" w:cs="仿宋_GB2312"/>
          <w:b w:val="0"/>
          <w:bCs w:val="0"/>
          <w:color w:val="auto"/>
          <w:spacing w:val="6"/>
          <w:sz w:val="32"/>
          <w:szCs w:val="32"/>
          <w:lang w:eastAsia="zh-CN"/>
        </w:rPr>
        <w:t>对主要经济指标分析研判能力</w:t>
      </w:r>
      <w:r>
        <w:rPr>
          <w:rFonts w:hint="eastAsia" w:ascii="仿宋_GB2312" w:hAnsi="仿宋_GB2312" w:eastAsia="仿宋_GB2312" w:cs="仿宋_GB2312"/>
          <w:b w:val="0"/>
          <w:bCs w:val="0"/>
          <w:color w:val="auto"/>
          <w:spacing w:val="6"/>
          <w:sz w:val="32"/>
          <w:szCs w:val="32"/>
          <w:lang w:val="en-US" w:eastAsia="zh-CN"/>
        </w:rPr>
        <w:t>。</w:t>
      </w:r>
      <w:r>
        <w:rPr>
          <w:rFonts w:hint="eastAsia" w:ascii="仿宋_GB2312" w:hAnsi="仿宋_GB2312" w:eastAsia="仿宋_GB2312" w:cs="仿宋_GB2312"/>
          <w:b w:val="0"/>
          <w:bCs w:val="0"/>
          <w:color w:val="auto"/>
          <w:spacing w:val="6"/>
          <w:kern w:val="0"/>
          <w:sz w:val="32"/>
          <w:szCs w:val="32"/>
          <w:lang w:val="en-US" w:eastAsia="zh-CN"/>
        </w:rPr>
        <w:t>三是稳抓“五上”新增。</w:t>
      </w:r>
      <w:r>
        <w:rPr>
          <w:rFonts w:hint="eastAsia" w:ascii="仿宋_GB2312" w:hAnsi="仿宋_GB2312" w:eastAsia="仿宋_GB2312" w:cs="仿宋_GB2312"/>
          <w:b w:val="0"/>
          <w:bCs w:val="0"/>
          <w:color w:val="auto"/>
          <w:spacing w:val="6"/>
          <w:sz w:val="32"/>
          <w:szCs w:val="32"/>
          <w:lang w:eastAsia="zh-CN"/>
        </w:rPr>
        <w:t>按照“先有库、后有数”的原则，做好新增</w:t>
      </w:r>
      <w:r>
        <w:rPr>
          <w:rFonts w:hint="eastAsia" w:ascii="仿宋_GB2312" w:hAnsi="仿宋_GB2312" w:eastAsia="仿宋_GB2312" w:cs="仿宋_GB2312"/>
          <w:b w:val="0"/>
          <w:bCs w:val="0"/>
          <w:color w:val="auto"/>
          <w:spacing w:val="6"/>
          <w:sz w:val="32"/>
          <w:szCs w:val="32"/>
          <w:lang w:val="en-US" w:eastAsia="zh-CN"/>
        </w:rPr>
        <w:t>一套表</w:t>
      </w:r>
      <w:r>
        <w:rPr>
          <w:rFonts w:hint="eastAsia" w:ascii="仿宋_GB2312" w:hAnsi="仿宋_GB2312" w:eastAsia="仿宋_GB2312" w:cs="仿宋_GB2312"/>
          <w:b w:val="0"/>
          <w:bCs w:val="0"/>
          <w:color w:val="auto"/>
          <w:spacing w:val="6"/>
          <w:sz w:val="32"/>
          <w:szCs w:val="32"/>
          <w:lang w:eastAsia="zh-CN"/>
        </w:rPr>
        <w:t>单位的管理工作，每月</w:t>
      </w:r>
      <w:r>
        <w:rPr>
          <w:rFonts w:hint="eastAsia" w:ascii="仿宋_GB2312" w:hAnsi="仿宋_GB2312" w:eastAsia="仿宋_GB2312" w:cs="仿宋_GB2312"/>
          <w:b w:val="0"/>
          <w:bCs w:val="0"/>
          <w:color w:val="auto"/>
          <w:spacing w:val="6"/>
          <w:sz w:val="32"/>
          <w:szCs w:val="32"/>
          <w:lang w:val="en-US" w:eastAsia="zh-CN"/>
        </w:rPr>
        <w:t>一通报</w:t>
      </w:r>
      <w:r>
        <w:rPr>
          <w:rFonts w:hint="eastAsia" w:ascii="仿宋_GB2312" w:hAnsi="仿宋_GB2312" w:eastAsia="仿宋_GB2312" w:cs="仿宋_GB2312"/>
          <w:b w:val="0"/>
          <w:bCs w:val="0"/>
          <w:color w:val="auto"/>
          <w:spacing w:val="6"/>
          <w:sz w:val="32"/>
          <w:szCs w:val="32"/>
          <w:lang w:eastAsia="zh-CN"/>
        </w:rPr>
        <w:t>，督促</w:t>
      </w:r>
      <w:r>
        <w:rPr>
          <w:rFonts w:hint="eastAsia" w:ascii="仿宋_GB2312" w:hAnsi="仿宋_GB2312" w:eastAsia="仿宋_GB2312" w:cs="仿宋_GB2312"/>
          <w:b w:val="0"/>
          <w:bCs w:val="0"/>
          <w:color w:val="auto"/>
          <w:spacing w:val="6"/>
          <w:sz w:val="32"/>
          <w:szCs w:val="32"/>
          <w:lang w:val="en-US" w:eastAsia="zh-CN"/>
        </w:rPr>
        <w:t>各乡镇</w:t>
      </w:r>
      <w:r>
        <w:rPr>
          <w:rFonts w:hint="eastAsia" w:ascii="仿宋_GB2312" w:hAnsi="仿宋_GB2312" w:eastAsia="仿宋_GB2312" w:cs="仿宋_GB2312"/>
          <w:b w:val="0"/>
          <w:bCs w:val="0"/>
          <w:color w:val="auto"/>
          <w:spacing w:val="6"/>
          <w:sz w:val="32"/>
          <w:szCs w:val="32"/>
          <w:lang w:eastAsia="zh-CN"/>
        </w:rPr>
        <w:t>和</w:t>
      </w:r>
      <w:r>
        <w:rPr>
          <w:rFonts w:hint="eastAsia" w:ascii="仿宋_GB2312" w:hAnsi="仿宋_GB2312" w:eastAsia="仿宋_GB2312" w:cs="仿宋_GB2312"/>
          <w:b w:val="0"/>
          <w:bCs w:val="0"/>
          <w:color w:val="auto"/>
          <w:spacing w:val="6"/>
          <w:sz w:val="32"/>
          <w:szCs w:val="32"/>
          <w:lang w:val="en-US" w:eastAsia="zh-CN"/>
        </w:rPr>
        <w:t>县</w:t>
      </w:r>
      <w:r>
        <w:rPr>
          <w:rFonts w:hint="eastAsia" w:ascii="仿宋_GB2312" w:hAnsi="仿宋_GB2312" w:eastAsia="仿宋_GB2312" w:cs="仿宋_GB2312"/>
          <w:b w:val="0"/>
          <w:bCs w:val="0"/>
          <w:color w:val="auto"/>
          <w:spacing w:val="6"/>
          <w:sz w:val="32"/>
          <w:szCs w:val="32"/>
          <w:lang w:eastAsia="zh-CN"/>
        </w:rPr>
        <w:t>直相关部门重视企业入统项目入库工作，对符合条件的企业、项目</w:t>
      </w:r>
      <w:r>
        <w:rPr>
          <w:rFonts w:hint="eastAsia" w:ascii="仿宋_GB2312" w:hAnsi="仿宋_GB2312" w:eastAsia="仿宋_GB2312" w:cs="仿宋_GB2312"/>
          <w:b w:val="0"/>
          <w:bCs w:val="0"/>
          <w:color w:val="auto"/>
          <w:spacing w:val="6"/>
          <w:sz w:val="32"/>
          <w:szCs w:val="32"/>
          <w:lang w:val="en-US" w:eastAsia="zh-CN"/>
        </w:rPr>
        <w:t>及时</w:t>
      </w:r>
      <w:r>
        <w:rPr>
          <w:rFonts w:hint="eastAsia" w:ascii="仿宋_GB2312" w:hAnsi="仿宋_GB2312" w:eastAsia="仿宋_GB2312" w:cs="仿宋_GB2312"/>
          <w:b w:val="0"/>
          <w:bCs w:val="0"/>
          <w:color w:val="auto"/>
          <w:spacing w:val="6"/>
          <w:sz w:val="32"/>
          <w:szCs w:val="32"/>
          <w:lang w:eastAsia="zh-CN"/>
        </w:rPr>
        <w:t>申报入库，</w:t>
      </w:r>
      <w:r>
        <w:rPr>
          <w:rFonts w:hint="eastAsia" w:ascii="仿宋_GB2312" w:hAnsi="仿宋_GB2312" w:eastAsia="仿宋_GB2312" w:cs="仿宋_GB2312"/>
          <w:b w:val="0"/>
          <w:bCs w:val="0"/>
          <w:i w:val="0"/>
          <w:iCs w:val="0"/>
          <w:caps w:val="0"/>
          <w:color w:val="auto"/>
          <w:spacing w:val="6"/>
          <w:kern w:val="0"/>
          <w:sz w:val="32"/>
          <w:szCs w:val="32"/>
          <w:shd w:val="clear" w:color="auto" w:fill="FFFFFF"/>
          <w:lang w:val="en-US" w:eastAsia="zh-CN"/>
        </w:rPr>
        <w:t>建立“部门牵头、乡镇负责、各尽其职、协调推进”的入库工作方式</w:t>
      </w:r>
      <w:r>
        <w:rPr>
          <w:rFonts w:hint="eastAsia" w:ascii="仿宋_GB2312" w:hAnsi="仿宋_GB2312" w:eastAsia="仿宋_GB2312" w:cs="仿宋_GB2312"/>
          <w:b w:val="0"/>
          <w:bCs w:val="0"/>
          <w:color w:val="auto"/>
          <w:spacing w:val="6"/>
          <w:sz w:val="32"/>
          <w:szCs w:val="32"/>
          <w:lang w:eastAsia="zh-CN"/>
        </w:rPr>
        <w:t>。</w:t>
      </w:r>
      <w:r>
        <w:rPr>
          <w:rFonts w:hint="eastAsia" w:ascii="仿宋_GB2312" w:hAnsi="仿宋_GB2312" w:eastAsia="仿宋_GB2312" w:cs="仿宋_GB2312"/>
          <w:b w:val="0"/>
          <w:bCs w:val="0"/>
          <w:color w:val="auto"/>
          <w:spacing w:val="6"/>
          <w:sz w:val="32"/>
          <w:szCs w:val="32"/>
          <w:lang w:val="en-US" w:eastAsia="zh-CN"/>
        </w:rPr>
        <w:t>截至目前，全县新增一套表单位108户，位列全市第三；一套表单位总数达到1654户，位列全市第二</w:t>
      </w:r>
      <w:r>
        <w:rPr>
          <w:rFonts w:hint="eastAsia" w:ascii="仿宋_GB2312" w:hAnsi="仿宋_GB2312" w:eastAsia="仿宋_GB2312" w:cs="仿宋_GB2312"/>
          <w:color w:val="auto"/>
          <w:spacing w:val="6"/>
          <w:sz w:val="32"/>
          <w:szCs w:val="32"/>
          <w:lang w:val="en-US" w:eastAsia="zh-CN"/>
        </w:rPr>
        <w:t>。</w:t>
      </w:r>
    </w:p>
    <w:p w14:paraId="17BCAE89">
      <w:pPr>
        <w:autoSpaceDE w:val="0"/>
        <w:autoSpaceDN w:val="0"/>
        <w:adjustRightInd w:val="0"/>
        <w:spacing w:line="560" w:lineRule="exact"/>
        <w:ind w:firstLine="643" w:firstLineChars="200"/>
        <w:jc w:val="left"/>
        <w:rPr>
          <w:rFonts w:hint="eastAsia" w:ascii="仿宋_GB2312" w:hAnsi="仿宋_GB2312" w:eastAsia="仿宋_GB2312" w:cs="仿宋_GB2312"/>
          <w:b w:val="0"/>
          <w:bCs w:val="0"/>
          <w:i w:val="0"/>
          <w:iCs w:val="0"/>
          <w:caps w:val="0"/>
          <w:color w:val="auto"/>
          <w:spacing w:val="0"/>
          <w:sz w:val="32"/>
          <w:szCs w:val="32"/>
          <w:shd w:val="clear" w:color="auto" w:fill="FFFFFF"/>
          <w:lang w:val="en-US" w:eastAsia="zh-CN"/>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精心组织</w:t>
      </w:r>
      <w:r>
        <w:rPr>
          <w:rFonts w:hint="eastAsia" w:ascii="楷体_GB2312" w:hAnsi="楷体_GB2312" w:eastAsia="楷体_GB2312" w:cs="楷体_GB2312"/>
          <w:b/>
          <w:bCs/>
          <w:sz w:val="32"/>
          <w:szCs w:val="32"/>
          <w:lang w:eastAsia="zh-CN"/>
        </w:rPr>
        <w:t>实施</w:t>
      </w:r>
      <w:r>
        <w:rPr>
          <w:rFonts w:hint="eastAsia" w:ascii="楷体_GB2312" w:hAnsi="楷体_GB2312" w:eastAsia="楷体_GB2312" w:cs="楷体_GB2312"/>
          <w:b/>
          <w:bCs/>
          <w:sz w:val="32"/>
          <w:szCs w:val="32"/>
        </w:rPr>
        <w:t>，严格质量控制，高质量完成</w:t>
      </w:r>
      <w:r>
        <w:rPr>
          <w:rFonts w:hint="eastAsia" w:ascii="楷体_GB2312" w:hAnsi="楷体_GB2312" w:eastAsia="楷体_GB2312" w:cs="楷体_GB2312"/>
          <w:b/>
          <w:bCs/>
          <w:sz w:val="32"/>
          <w:szCs w:val="32"/>
          <w:lang w:eastAsia="zh-CN"/>
        </w:rPr>
        <w:t>各项普查调查。</w:t>
      </w:r>
      <w:r>
        <w:rPr>
          <w:rFonts w:hint="eastAsia" w:ascii="仿宋_GB2312" w:hAnsi="仿宋_GB2312" w:eastAsia="仿宋_GB2312" w:cs="仿宋_GB2312"/>
          <w:b w:val="0"/>
          <w:bCs w:val="0"/>
          <w:sz w:val="32"/>
          <w:szCs w:val="32"/>
        </w:rPr>
        <w:t>按照国家</w:t>
      </w:r>
      <w:r>
        <w:rPr>
          <w:rFonts w:hint="eastAsia" w:ascii="仿宋_GB2312" w:hAnsi="仿宋_GB2312" w:eastAsia="仿宋_GB2312" w:cs="仿宋_GB2312"/>
          <w:b w:val="0"/>
          <w:bCs w:val="0"/>
          <w:sz w:val="32"/>
          <w:szCs w:val="32"/>
          <w:lang w:eastAsia="zh-CN"/>
        </w:rPr>
        <w:t>及省市</w:t>
      </w:r>
      <w:r>
        <w:rPr>
          <w:rFonts w:hint="eastAsia" w:ascii="仿宋_GB2312" w:hAnsi="仿宋_GB2312" w:eastAsia="仿宋_GB2312" w:cs="仿宋_GB2312"/>
          <w:b w:val="0"/>
          <w:bCs w:val="0"/>
          <w:sz w:val="32"/>
          <w:szCs w:val="32"/>
        </w:rPr>
        <w:t>统计</w:t>
      </w:r>
      <w:r>
        <w:rPr>
          <w:rFonts w:hint="eastAsia" w:ascii="仿宋_GB2312" w:hAnsi="仿宋_GB2312" w:eastAsia="仿宋_GB2312" w:cs="仿宋_GB2312"/>
          <w:b w:val="0"/>
          <w:bCs w:val="0"/>
          <w:sz w:val="32"/>
          <w:szCs w:val="32"/>
          <w:lang w:eastAsia="zh-CN"/>
        </w:rPr>
        <w:t>部门安排</w:t>
      </w:r>
      <w:r>
        <w:rPr>
          <w:rFonts w:hint="eastAsia" w:ascii="仿宋_GB2312" w:hAnsi="仿宋_GB2312" w:eastAsia="仿宋_GB2312" w:cs="仿宋_GB2312"/>
          <w:b w:val="0"/>
          <w:bCs w:val="0"/>
          <w:sz w:val="32"/>
          <w:szCs w:val="32"/>
        </w:rPr>
        <w:t>部署，</w:t>
      </w:r>
      <w:r>
        <w:rPr>
          <w:rFonts w:hint="eastAsia" w:ascii="仿宋_GB2312" w:hAnsi="仿宋_GB2312" w:eastAsia="仿宋_GB2312" w:cs="仿宋_GB2312"/>
          <w:b w:val="0"/>
          <w:bCs w:val="0"/>
          <w:color w:val="auto"/>
          <w:sz w:val="32"/>
          <w:szCs w:val="32"/>
          <w:lang w:eastAsia="zh-CN"/>
        </w:rPr>
        <w:t>坚持聚焦重点环节，把握关键时间节点，多措并举高质量推进各项普查调查</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color w:val="auto"/>
          <w:sz w:val="32"/>
          <w:szCs w:val="32"/>
          <w:lang w:val="en-US" w:eastAsia="zh-CN"/>
        </w:rPr>
        <w:t>一是</w:t>
      </w:r>
      <w:r>
        <w:rPr>
          <w:rFonts w:hint="eastAsia" w:ascii="仿宋_GB2312" w:hAnsi="仿宋_GB2312" w:eastAsia="仿宋_GB2312" w:cs="仿宋_GB2312"/>
          <w:b w:val="0"/>
          <w:bCs w:val="0"/>
          <w:sz w:val="32"/>
          <w:szCs w:val="32"/>
        </w:rPr>
        <w:t>认真做好2025年全国1%人口抽样调查。县、乡两级均按要求成立了组织机构，完成“两员”培训、物资配备、广泛宣传等前期工作。11月15日前已完成全县108个样本村和120个调查小区，共4790户，登记了1.6万人，承办了南昌市人口抽样调查宣传片制作，获得省市高度认可。二是稳步推进第四次全国农业普查。结合“三农普”工作经验，按照省市农普办工作要求，</w:t>
      </w:r>
      <w:r>
        <w:rPr>
          <w:rFonts w:hint="eastAsia" w:ascii="仿宋_GB2312" w:hAnsi="仿宋_GB2312" w:eastAsia="仿宋_GB2312" w:cs="仿宋_GB2312"/>
          <w:b w:val="0"/>
          <w:bCs w:val="0"/>
          <w:sz w:val="32"/>
          <w:szCs w:val="32"/>
          <w:lang w:val="en-US" w:eastAsia="zh-CN"/>
        </w:rPr>
        <w:t>成立</w:t>
      </w:r>
      <w:r>
        <w:rPr>
          <w:rFonts w:hint="eastAsia" w:ascii="仿宋_GB2312" w:hAnsi="仿宋_GB2312" w:eastAsia="仿宋_GB2312" w:cs="仿宋_GB2312"/>
          <w:b w:val="0"/>
          <w:bCs w:val="0"/>
          <w:sz w:val="32"/>
          <w:szCs w:val="32"/>
        </w:rPr>
        <w:t>全县“四农普”工作专班，编制了经费预算，及时下发工作通知，落实相关要求，稳步推进全县“四农普”工作。</w:t>
      </w:r>
      <w:r>
        <w:rPr>
          <w:rFonts w:hint="eastAsia" w:ascii="仿宋_GB2312" w:hAnsi="仿宋_GB2312" w:eastAsia="仿宋_GB2312" w:cs="仿宋_GB2312"/>
          <w:b w:val="0"/>
          <w:bCs w:val="0"/>
          <w:color w:val="auto"/>
          <w:spacing w:val="6"/>
          <w:sz w:val="32"/>
          <w:szCs w:val="32"/>
          <w:lang w:val="en-US" w:eastAsia="zh-CN"/>
        </w:rPr>
        <w:t>三</w:t>
      </w:r>
      <w:r>
        <w:rPr>
          <w:rFonts w:hint="eastAsia" w:ascii="仿宋_GB2312" w:hAnsi="仿宋_GB2312" w:eastAsia="仿宋_GB2312" w:cs="仿宋_GB2312"/>
          <w:b w:val="0"/>
          <w:bCs w:val="0"/>
          <w:color w:val="auto"/>
          <w:sz w:val="32"/>
          <w:szCs w:val="32"/>
          <w:lang w:val="en-US" w:eastAsia="zh-CN"/>
        </w:rPr>
        <w:t>是有序开展日常统计工作。</w:t>
      </w:r>
      <w:r>
        <w:rPr>
          <w:rFonts w:hint="eastAsia" w:ascii="仿宋_GB2312" w:hAnsi="仿宋_GB2312" w:eastAsia="仿宋_GB2312" w:cs="仿宋_GB2312"/>
          <w:b w:val="0"/>
          <w:bCs w:val="0"/>
          <w:i w:val="0"/>
          <w:iCs w:val="0"/>
          <w:caps w:val="0"/>
          <w:color w:val="auto"/>
          <w:spacing w:val="0"/>
          <w:sz w:val="32"/>
          <w:szCs w:val="32"/>
          <w:shd w:val="clear" w:color="auto" w:fill="FFFFFF"/>
          <w:lang w:val="en-US" w:eastAsia="zh-CN"/>
        </w:rPr>
        <w:t>围绕高质量发展不断优化日常统计工作，践行服务经济决策的政治担当，统全统准各项经济指标。</w:t>
      </w:r>
    </w:p>
    <w:p w14:paraId="12C3ADB3">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（三）当年单位年度整体支出绩效目标</w:t>
      </w:r>
    </w:p>
    <w:p w14:paraId="25AB6411">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整体支出绩效目标主要体现在我局不断加强财政管理专项治理，加大财政资金使用监管力度，切实保障落实财政政策和发挥资金效益，保证财政整体支出评价指标框架、绩效目标、绩效评价等方面标准对项目资金的管理、概况、效益指标等事项实现整体化。</w:t>
      </w:r>
    </w:p>
    <w:p w14:paraId="72DEB40E">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（四）当年单位预算及执行情况</w:t>
      </w:r>
    </w:p>
    <w:p w14:paraId="2CA62212">
      <w:pPr>
        <w:spacing w:line="560" w:lineRule="exact"/>
        <w:ind w:firstLine="640" w:firstLineChars="200"/>
        <w:rPr>
          <w:rFonts w:hint="eastAsia" w:ascii="仿宋" w:hAnsi="仿宋" w:eastAsia="仿宋" w:cs="仿宋"/>
          <w:b w:val="0"/>
          <w:bCs w:val="0"/>
          <w:color w:val="000000"/>
          <w:sz w:val="32"/>
          <w:szCs w:val="32"/>
          <w:lang w:val="en-US" w:eastAsia="zh-CN"/>
        </w:rPr>
      </w:pP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南昌县统计局</w:t>
      </w:r>
      <w:r>
        <w:rPr>
          <w:rFonts w:hint="eastAsia" w:ascii="仿宋_GB2312" w:eastAsia="仿宋_GB2312"/>
          <w:sz w:val="32"/>
          <w:szCs w:val="32"/>
          <w:highlight w:val="none"/>
        </w:rPr>
        <w:t>收入预算总额为</w:t>
      </w:r>
      <w:r>
        <w:rPr>
          <w:rFonts w:hint="eastAsia" w:ascii="仿宋_GB2312" w:eastAsia="仿宋_GB2312"/>
          <w:sz w:val="32"/>
          <w:szCs w:val="32"/>
          <w:highlight w:val="none"/>
          <w:lang w:val="en-US" w:eastAsia="zh-CN"/>
        </w:rPr>
        <w:t>1417.61万元，比上年减少781.06万元，下降35.5%，其中：财政拨款收入1267.61万元，其他收入150万元</w:t>
      </w:r>
      <w:r>
        <w:rPr>
          <w:rFonts w:hint="eastAsia" w:ascii="仿宋_GB2312" w:eastAsia="仿宋_GB2312"/>
          <w:color w:val="000000" w:themeColor="text1"/>
          <w:sz w:val="32"/>
          <w:szCs w:val="32"/>
          <w:highlight w:val="none"/>
        </w:rPr>
        <w:t>。</w:t>
      </w:r>
      <w:r>
        <w:rPr>
          <w:rFonts w:hint="eastAsia" w:ascii="仿宋" w:hAnsi="仿宋" w:eastAsia="仿宋" w:cs="仿宋"/>
          <w:b w:val="0"/>
          <w:bCs w:val="0"/>
          <w:color w:val="000000"/>
          <w:sz w:val="32"/>
          <w:szCs w:val="32"/>
          <w:lang w:val="en-US" w:eastAsia="zh-CN"/>
        </w:rPr>
        <w:t>我局严格按照《南昌县财政局关于展开2025年度部门整体支出绩效评价工作的通知》南财绩【2026】1号文件要求，高度重视，认真组织开展部门整体支出评价。</w:t>
      </w:r>
    </w:p>
    <w:p w14:paraId="23B971F6">
      <w:pPr>
        <w:autoSpaceDE w:val="0"/>
        <w:autoSpaceDN w:val="0"/>
        <w:adjustRightInd w:val="0"/>
        <w:spacing w:line="560" w:lineRule="exact"/>
        <w:ind w:firstLine="640" w:firstLineChars="200"/>
        <w:jc w:val="left"/>
        <w:rPr>
          <w:rFonts w:ascii="黑体" w:hAnsi="Times New Roman" w:eastAsia="黑体" w:cs="黑体"/>
          <w:kern w:val="0"/>
          <w:szCs w:val="32"/>
        </w:rPr>
      </w:pPr>
      <w:r>
        <w:rPr>
          <w:rFonts w:hint="eastAsia" w:ascii="黑体" w:hAnsi="Times New Roman" w:eastAsia="黑体" w:cs="黑体"/>
          <w:kern w:val="0"/>
          <w:sz w:val="32"/>
          <w:szCs w:val="32"/>
        </w:rPr>
        <w:t>二、评价工作开展情况</w:t>
      </w:r>
    </w:p>
    <w:p w14:paraId="4D9CFB5A">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（一）评价的目的和思路</w:t>
      </w:r>
    </w:p>
    <w:p w14:paraId="68E048D6">
      <w:pPr>
        <w:spacing w:line="560" w:lineRule="exact"/>
        <w:ind w:firstLine="645"/>
      </w:pPr>
      <w:r>
        <w:rPr>
          <w:rFonts w:hint="eastAsia" w:ascii="仿宋" w:hAnsi="仿宋" w:eastAsia="仿宋" w:cs="仿宋"/>
          <w:b w:val="0"/>
          <w:bCs w:val="0"/>
          <w:color w:val="000000"/>
          <w:sz w:val="32"/>
          <w:szCs w:val="32"/>
          <w:lang w:val="en-US" w:eastAsia="zh-CN"/>
        </w:rPr>
        <w:t>根据编制年度预算时提交的财政支出项目绩效目标申报表及项目设定的预期目标，选择合适的评价指标和标准，运用科学的评价方法，对资金使用全过程及其支出的经济性、效率性和效益性进行客观公正的综合评价，以衡量财政资金的使用绩效，分析支出项目是否达到预期目标。同时，及时总结经验，分析存在问题，进一步改进和加强资金管理，提高财政资金的使用效益。</w:t>
      </w:r>
    </w:p>
    <w:p w14:paraId="7CA6DF99">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（二）评价方法和指标体系</w:t>
      </w:r>
    </w:p>
    <w:p w14:paraId="072CC1F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1.评价方法</w:t>
      </w:r>
    </w:p>
    <w:p w14:paraId="1D1D684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主要采用因素分析法和</w:t>
      </w:r>
      <w:bookmarkStart w:id="0" w:name="_GoBack"/>
      <w:bookmarkEnd w:id="0"/>
      <w:r>
        <w:rPr>
          <w:rFonts w:hint="eastAsia" w:ascii="仿宋" w:hAnsi="仿宋" w:eastAsia="仿宋" w:cs="仿宋"/>
          <w:b w:val="0"/>
          <w:bCs w:val="0"/>
          <w:color w:val="000000"/>
          <w:sz w:val="32"/>
          <w:szCs w:val="32"/>
          <w:lang w:val="en-US" w:eastAsia="zh-CN"/>
        </w:rPr>
        <w:t>数据对比法。因素分析法评价项目实施的整体情况是否符合实际需要，数据对比法则反映的是项目运行的持续性和质量的可控性。</w:t>
      </w:r>
    </w:p>
    <w:p w14:paraId="2B4D362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2.指标体系</w:t>
      </w:r>
    </w:p>
    <w:p w14:paraId="2579018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 xml:space="preserve">根据财政部《预算绩效评价共性指标体系框架》等文件精神，确定本次绩效评价指标的整体框架。针对项目构建一套指标体系，项目指标包括 ：        </w:t>
      </w:r>
    </w:p>
    <w:p w14:paraId="377AD4D8">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1）项目概述：推进全县统计工作规范化建设，全方位提高统计资金项目到位情况。</w:t>
      </w:r>
    </w:p>
    <w:p w14:paraId="02B0134A">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2）实施主体：南昌县统计局</w:t>
      </w:r>
    </w:p>
    <w:p w14:paraId="4E6366D1">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3）实施周期：2025年</w:t>
      </w:r>
    </w:p>
    <w:p w14:paraId="2B331CC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4）年度预算安排：624.4 万元</w:t>
      </w:r>
    </w:p>
    <w:p w14:paraId="6FB89366">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5）绩效目标和指标：</w:t>
      </w:r>
    </w:p>
    <w:p w14:paraId="27B368F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数量指标：统计工作数量逐年增加</w:t>
      </w:r>
    </w:p>
    <w:p w14:paraId="2192C5EC">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质量指标：验收低耗质量达标　</w:t>
      </w:r>
    </w:p>
    <w:p w14:paraId="52EC62AD">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时效指标：统计拨付率达标</w:t>
      </w:r>
    </w:p>
    <w:p w14:paraId="1C6F547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成本指标：资金使用率达标</w:t>
      </w:r>
    </w:p>
    <w:p w14:paraId="6374D05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社会效益指标：全县统计工作准确率提高</w:t>
      </w:r>
    </w:p>
    <w:p w14:paraId="5DC77531">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满意度：群众满意度提升</w:t>
      </w:r>
    </w:p>
    <w:p w14:paraId="476D25FD">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（三）评价实施过程</w:t>
      </w:r>
    </w:p>
    <w:p w14:paraId="77602A8A">
      <w:pPr>
        <w:autoSpaceDE w:val="0"/>
        <w:autoSpaceDN w:val="0"/>
        <w:adjustRightInd w:val="0"/>
        <w:spacing w:line="560" w:lineRule="exact"/>
        <w:ind w:firstLine="640" w:firstLineChars="200"/>
        <w:jc w:val="left"/>
        <w:rPr>
          <w:rFonts w:hint="eastAsia" w:ascii="黑体" w:hAnsi="Times New Roman" w:eastAsia="黑体" w:cs="黑体"/>
          <w:kern w:val="0"/>
          <w:sz w:val="32"/>
          <w:szCs w:val="32"/>
        </w:rPr>
      </w:pPr>
      <w:r>
        <w:rPr>
          <w:rFonts w:hint="eastAsia" w:ascii="仿宋" w:hAnsi="仿宋" w:eastAsia="仿宋" w:cs="仿宋"/>
          <w:b w:val="0"/>
          <w:bCs w:val="0"/>
          <w:color w:val="000000"/>
          <w:sz w:val="32"/>
          <w:szCs w:val="32"/>
          <w:lang w:val="en-US" w:eastAsia="zh-CN"/>
        </w:rPr>
        <w:t>实施本年绩效评价，首先根据项目预先设立的绩效目标、项目管理办法、专项资金管理办法、项目实施方案等资料，选择合适的评价指标和标准，同时明确本次绩效评价的目的、方法、评价的原则、评价标准、时间安排等，形成绩效评价工作方案。提交部门审核，并根据审核意见进一步修改和完善绩效评价工作方案。</w:t>
      </w:r>
    </w:p>
    <w:p w14:paraId="6137E2B0">
      <w:pPr>
        <w:autoSpaceDE w:val="0"/>
        <w:autoSpaceDN w:val="0"/>
        <w:adjustRightInd w:val="0"/>
        <w:spacing w:line="560" w:lineRule="exact"/>
        <w:ind w:firstLine="640" w:firstLineChars="200"/>
        <w:jc w:val="left"/>
        <w:rPr>
          <w:rFonts w:ascii="黑体" w:hAnsi="Times New Roman" w:eastAsia="黑体" w:cs="黑体"/>
          <w:kern w:val="0"/>
          <w:sz w:val="32"/>
          <w:szCs w:val="32"/>
        </w:rPr>
      </w:pPr>
      <w:r>
        <w:rPr>
          <w:rFonts w:hint="eastAsia" w:ascii="黑体" w:hAnsi="Times New Roman" w:eastAsia="黑体" w:cs="黑体"/>
          <w:kern w:val="0"/>
          <w:sz w:val="32"/>
          <w:szCs w:val="32"/>
        </w:rPr>
        <w:t>三、评价总体结论</w:t>
      </w:r>
    </w:p>
    <w:p w14:paraId="11A7C7B1">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（一）评价得分情况</w:t>
      </w:r>
    </w:p>
    <w:p w14:paraId="2001586E">
      <w:pPr>
        <w:spacing w:line="560" w:lineRule="exact"/>
        <w:ind w:firstLine="645"/>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（一）评价得分情况</w:t>
      </w:r>
    </w:p>
    <w:p w14:paraId="2BC98C70">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 xml:space="preserve">    部门决策管理30分：得分30分</w:t>
      </w:r>
    </w:p>
    <w:p w14:paraId="6FBB74F2">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部门规划工作计划明确性（得分6分）：设置“年度任务”“创新创优”等指标，强化创先争优导向。</w:t>
      </w:r>
    </w:p>
    <w:p w14:paraId="01F75705">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绩效目标指标（得分4分）：绩效目标的合理性及明确性。</w:t>
      </w:r>
    </w:p>
    <w:p w14:paraId="575F3CD3">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资金配置指标（得分4分）：对项目开展全流程管理，提升项目产出指标，完善绩效考核体系。</w:t>
      </w:r>
    </w:p>
    <w:p w14:paraId="5D402743">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资金管理指标（得分4分）：资金分配的合理性及预算编制的科学性。</w:t>
      </w:r>
    </w:p>
    <w:p w14:paraId="34E1DEFE">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预算管理指标（得分4分）：预算管理制度健全，信息及时公开。</w:t>
      </w:r>
    </w:p>
    <w:p w14:paraId="605E5F63">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政府采购指标（得分2分）：有效节约了采购成本。</w:t>
      </w:r>
    </w:p>
    <w:p w14:paraId="0B1FD83E">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资产管理指标（得分4分）：规范资产管理，有效利用固定资产。</w:t>
      </w:r>
    </w:p>
    <w:p w14:paraId="3A67C256">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组织实施指标（得分2分）：制定了健全的管理制度。</w:t>
      </w:r>
    </w:p>
    <w:p w14:paraId="32CC0A4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部门产出（35分）：得分31分</w:t>
      </w:r>
    </w:p>
    <w:p w14:paraId="5F433E4E">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产出数量9分：组织统计业务培训</w:t>
      </w:r>
    </w:p>
    <w:p w14:paraId="5BD456C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产出质量9分：统计培训合格率</w:t>
      </w:r>
    </w:p>
    <w:p w14:paraId="3D03DED3">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产出时效9分：统计数据报送及时率</w:t>
      </w:r>
    </w:p>
    <w:p w14:paraId="1F4F845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产出成本10分：严格按预算标准执行</w:t>
      </w:r>
    </w:p>
    <w:p w14:paraId="02E8563B">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部门效益得分32分：全面提升县域普查率。</w:t>
      </w:r>
    </w:p>
    <w:p w14:paraId="7D23A284">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（二）评价总体结论</w:t>
      </w:r>
    </w:p>
    <w:p w14:paraId="197EF2EF">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围绕绩效评价指标体系，通过数据采集分析，财务核查、实地核查及深度访谈等方式，对该项目绩效进行了客观、公正、合理、有效的评价，依据财政绩效评价等级划分评分为93分，本项目绩效评价等级为“优”。</w:t>
      </w:r>
    </w:p>
    <w:p w14:paraId="5F51EF66">
      <w:pPr>
        <w:autoSpaceDE w:val="0"/>
        <w:autoSpaceDN w:val="0"/>
        <w:adjustRightInd w:val="0"/>
        <w:spacing w:line="560" w:lineRule="exact"/>
        <w:ind w:firstLine="640" w:firstLineChars="200"/>
        <w:jc w:val="left"/>
        <w:rPr>
          <w:rFonts w:ascii="黑体" w:hAnsi="Times New Roman" w:eastAsia="黑体" w:cs="黑体"/>
          <w:kern w:val="0"/>
          <w:sz w:val="32"/>
          <w:szCs w:val="32"/>
        </w:rPr>
      </w:pPr>
      <w:r>
        <w:rPr>
          <w:rFonts w:hint="eastAsia" w:ascii="黑体" w:hAnsi="Times New Roman" w:eastAsia="黑体" w:cs="黑体"/>
          <w:kern w:val="0"/>
          <w:sz w:val="32"/>
          <w:szCs w:val="32"/>
        </w:rPr>
        <w:t>四、单位整体支出绩效实现情况</w:t>
      </w:r>
    </w:p>
    <w:p w14:paraId="229C3092">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（一）单位决策完成情况</w:t>
      </w:r>
    </w:p>
    <w:p w14:paraId="4D385855">
      <w:pPr>
        <w:spacing w:line="560" w:lineRule="exact"/>
        <w:ind w:firstLine="6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组织领导和监督检查各乡镇（街道办、管理处）、县直各部门的统计工作；组织宣传、贯彻统计法律法规；查处统计违法案件；监督检查统计法律法规的实施。</w:t>
      </w:r>
    </w:p>
    <w:p w14:paraId="46BDC1A1">
      <w:pPr>
        <w:autoSpaceDE w:val="0"/>
        <w:autoSpaceDN w:val="0"/>
        <w:adjustRightInd w:val="0"/>
        <w:spacing w:line="560" w:lineRule="exact"/>
        <w:ind w:firstLine="640" w:firstLineChars="200"/>
        <w:jc w:val="left"/>
        <w:rPr>
          <w:rFonts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（二）单位管理完成情况</w:t>
      </w:r>
    </w:p>
    <w:p w14:paraId="42D3CC82">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1、制度优化与效能提升，创新前评估后评价机制。</w:t>
      </w:r>
    </w:p>
    <w:p w14:paraId="20E584F8">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 xml:space="preserve">2、建立经济运行监测体系，定期分析研判经济形势，提出针对性对策建议，确保经济平稳健康发展。                                                        </w:t>
      </w:r>
    </w:p>
    <w:p w14:paraId="2AFF6FA6">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（三）单位产出完成情况</w:t>
      </w:r>
    </w:p>
    <w:p w14:paraId="48342722">
      <w:pPr>
        <w:spacing w:line="560" w:lineRule="exact"/>
        <w:ind w:firstLine="645"/>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从数量、质量、时效等方面归纳反映年度主要计划任务完成情况。</w:t>
      </w:r>
    </w:p>
    <w:p w14:paraId="4A256B5C">
      <w:pPr>
        <w:spacing w:line="560" w:lineRule="exact"/>
        <w:ind w:firstLine="645"/>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数量指标：</w:t>
      </w:r>
      <w:r>
        <w:rPr>
          <w:rFonts w:hint="eastAsia" w:ascii="仿宋_GB2312" w:hAnsi="仿宋_GB2312" w:eastAsia="仿宋_GB2312" w:cs="仿宋_GB2312"/>
          <w:b w:val="0"/>
          <w:bCs w:val="0"/>
          <w:sz w:val="32"/>
          <w:szCs w:val="32"/>
          <w:lang w:val="en-US" w:eastAsia="zh-CN"/>
        </w:rPr>
        <w:t>全县正常填报企业的数量1649家</w:t>
      </w:r>
    </w:p>
    <w:p w14:paraId="673EB17C">
      <w:pPr>
        <w:spacing w:line="560" w:lineRule="exact"/>
        <w:ind w:firstLine="645"/>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质量指标：保证统计数据质量得到提升，组织专业统计人员每年组织培训。</w:t>
      </w:r>
    </w:p>
    <w:p w14:paraId="01B790C3">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 w:hAnsi="仿宋" w:eastAsia="仿宋" w:cs="仿宋"/>
          <w:b w:val="0"/>
          <w:bCs w:val="0"/>
          <w:color w:val="000000"/>
          <w:sz w:val="32"/>
          <w:szCs w:val="32"/>
        </w:rPr>
        <w:t>时效指标：各项经费及时足额拨付。</w:t>
      </w:r>
    </w:p>
    <w:p w14:paraId="34A1DF4D">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（四）单位效果完成情况</w:t>
      </w:r>
    </w:p>
    <w:p w14:paraId="68038C56">
      <w:pPr>
        <w:spacing w:line="560" w:lineRule="exact"/>
        <w:ind w:firstLine="645"/>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从社会效益、经济效益、生态效益等方面反映部门履职效果的实现情况。</w:t>
      </w:r>
    </w:p>
    <w:p w14:paraId="75AF6E88">
      <w:pPr>
        <w:spacing w:line="560" w:lineRule="exact"/>
        <w:ind w:firstLine="66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社会效益：促进全县经济发展对全县经济发展和科技进步情况进行统计分析、统计预测和统计监督，向县委、县政府及有关部门提供统计信息和建议。</w:t>
      </w:r>
    </w:p>
    <w:p w14:paraId="69D9E69D">
      <w:pPr>
        <w:spacing w:line="560" w:lineRule="exact"/>
        <w:ind w:firstLine="645"/>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经济效益指标：统计人员工作经费及时发放到位，各项工作</w:t>
      </w:r>
      <w:r>
        <w:rPr>
          <w:rFonts w:hint="eastAsia" w:ascii="仿宋" w:hAnsi="仿宋" w:eastAsia="仿宋" w:cs="仿宋"/>
          <w:b w:val="0"/>
          <w:bCs w:val="0"/>
          <w:color w:val="000000"/>
          <w:sz w:val="32"/>
          <w:szCs w:val="32"/>
          <w:lang w:val="en-US" w:eastAsia="zh-CN"/>
        </w:rPr>
        <w:t>有序</w:t>
      </w:r>
      <w:r>
        <w:rPr>
          <w:rFonts w:hint="eastAsia" w:ascii="仿宋" w:hAnsi="仿宋" w:eastAsia="仿宋" w:cs="仿宋"/>
          <w:b w:val="0"/>
          <w:bCs w:val="0"/>
          <w:color w:val="000000"/>
          <w:sz w:val="32"/>
          <w:szCs w:val="32"/>
        </w:rPr>
        <w:t>开展，为我县的经济发展提供了稳定的基础。</w:t>
      </w:r>
    </w:p>
    <w:p w14:paraId="75CA8A7A">
      <w:pPr>
        <w:autoSpaceDE w:val="0"/>
        <w:autoSpaceDN w:val="0"/>
        <w:adjustRightInd w:val="0"/>
        <w:spacing w:line="560" w:lineRule="exact"/>
        <w:ind w:firstLine="640" w:firstLineChars="200"/>
        <w:jc w:val="left"/>
        <w:rPr>
          <w:rFonts w:hint="eastAsia" w:ascii="黑体" w:hAnsi="Times New Roman" w:eastAsia="黑体" w:cs="黑体"/>
          <w:kern w:val="0"/>
          <w:sz w:val="32"/>
          <w:szCs w:val="32"/>
        </w:rPr>
      </w:pPr>
      <w:r>
        <w:rPr>
          <w:rFonts w:hint="eastAsia" w:ascii="仿宋" w:hAnsi="仿宋" w:eastAsia="仿宋" w:cs="仿宋"/>
          <w:b w:val="0"/>
          <w:bCs w:val="0"/>
          <w:color w:val="000000"/>
          <w:sz w:val="32"/>
          <w:szCs w:val="32"/>
        </w:rPr>
        <w:t>生态效益：对环境无影响，符合环保要求。</w:t>
      </w:r>
    </w:p>
    <w:p w14:paraId="106F3CDD">
      <w:pPr>
        <w:autoSpaceDE w:val="0"/>
        <w:autoSpaceDN w:val="0"/>
        <w:adjustRightInd w:val="0"/>
        <w:spacing w:line="560" w:lineRule="exact"/>
        <w:ind w:firstLine="640" w:firstLineChars="200"/>
        <w:jc w:val="left"/>
        <w:rPr>
          <w:rFonts w:ascii="黑体" w:hAnsi="Times New Roman" w:eastAsia="黑体" w:cs="黑体"/>
          <w:kern w:val="0"/>
          <w:sz w:val="32"/>
          <w:szCs w:val="32"/>
        </w:rPr>
      </w:pPr>
      <w:r>
        <w:rPr>
          <w:rFonts w:hint="eastAsia" w:ascii="黑体" w:hAnsi="Times New Roman" w:eastAsia="黑体" w:cs="黑体"/>
          <w:kern w:val="0"/>
          <w:sz w:val="32"/>
          <w:szCs w:val="32"/>
        </w:rPr>
        <w:t>五、单位整体支出绩效中存在问题及改进措施</w:t>
      </w:r>
    </w:p>
    <w:p w14:paraId="0AF8B9CB">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（一）主要问题及原因分析</w:t>
      </w:r>
    </w:p>
    <w:p w14:paraId="4B05D2E6">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 w:hAnsi="仿宋" w:eastAsia="仿宋" w:cs="仿宋"/>
          <w:b w:val="0"/>
          <w:bCs w:val="0"/>
          <w:color w:val="000000"/>
          <w:sz w:val="32"/>
          <w:szCs w:val="32"/>
        </w:rPr>
        <w:t>整体支出绩效运行监控绩效结论、存在问题两方面。绩效指标设定模糊，量化不足，难以衡量实际效果</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rPr>
        <w:t>绩效目标调整机制不灵活，难以应对突发情况或政策变化。整体支出绩效运行监控制度保障的完善程度，部门内部控制机制的健全程度，整体支出绩效运行监控资源配置水平和能力等。</w:t>
      </w:r>
    </w:p>
    <w:p w14:paraId="4E5948F7">
      <w:pPr>
        <w:autoSpaceDE w:val="0"/>
        <w:autoSpaceDN w:val="0"/>
        <w:adjustRightInd w:val="0"/>
        <w:spacing w:line="560" w:lineRule="exact"/>
        <w:ind w:firstLine="640" w:firstLineChars="200"/>
        <w:jc w:val="left"/>
        <w:rPr>
          <w:rFonts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（二）改进的方向和具体措施</w:t>
      </w:r>
    </w:p>
    <w:p w14:paraId="755C296F">
      <w:pPr>
        <w:spacing w:line="560" w:lineRule="exact"/>
        <w:ind w:firstLine="640" w:firstLineChars="20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1</w:t>
      </w:r>
      <w:r>
        <w:rPr>
          <w:rFonts w:hint="eastAsia" w:ascii="仿宋" w:hAnsi="仿宋" w:eastAsia="仿宋" w:cs="仿宋"/>
          <w:b w:val="0"/>
          <w:bCs w:val="0"/>
          <w:color w:val="000000"/>
          <w:sz w:val="32"/>
          <w:szCs w:val="32"/>
        </w:rPr>
        <w:t xml:space="preserve">. 建立全过程动态监控机制  </w:t>
      </w:r>
    </w:p>
    <w:p w14:paraId="36BE8A94">
      <w:pPr>
        <w:spacing w:line="560" w:lineRule="exact"/>
        <w:ind w:firstLine="640" w:firstLineChars="20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实时跟踪资金流向和项目进展。设立绩效目标动态调整程序，允许在政策变化或突发事件中优化资源配置。</w:t>
      </w:r>
    </w:p>
    <w:p w14:paraId="5D46D523">
      <w:pPr>
        <w:spacing w:line="560" w:lineRule="exact"/>
        <w:ind w:firstLine="640" w:firstLineChars="20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val="en-US" w:eastAsia="zh-CN"/>
        </w:rPr>
        <w:t>2</w:t>
      </w:r>
      <w:r>
        <w:rPr>
          <w:rFonts w:hint="eastAsia" w:ascii="仿宋" w:hAnsi="仿宋" w:eastAsia="仿宋" w:cs="仿宋"/>
          <w:b w:val="0"/>
          <w:bCs w:val="0"/>
          <w:color w:val="000000"/>
          <w:sz w:val="32"/>
          <w:szCs w:val="32"/>
        </w:rPr>
        <w:t xml:space="preserve">. 完善绩效评价体系  </w:t>
      </w:r>
    </w:p>
    <w:p w14:paraId="3C6BCC19">
      <w:pPr>
        <w:spacing w:line="560" w:lineRule="exact"/>
        <w:ind w:firstLine="640" w:firstLineChars="20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 xml:space="preserve">   从财务、服务对象、内部流程、学习成长四个维度综合评估。扩大第三方机构参与，采用成本效益分析、社会投资回报率等方法提升评价专业性。</w:t>
      </w:r>
    </w:p>
    <w:p w14:paraId="35728E40">
      <w:pPr>
        <w:numPr>
          <w:ilvl w:val="0"/>
          <w:numId w:val="2"/>
        </w:numPr>
        <w:spacing w:line="560" w:lineRule="exact"/>
        <w:ind w:firstLine="640" w:firstLineChars="20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 xml:space="preserve">加强能力建设与培训  </w:t>
      </w:r>
    </w:p>
    <w:p w14:paraId="12B9952E">
      <w:pPr>
        <w:numPr>
          <w:ilvl w:val="0"/>
          <w:numId w:val="0"/>
        </w:numPr>
        <w:spacing w:line="560" w:lineRule="exact"/>
        <w:ind w:firstLine="640" w:firstLineChars="200"/>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rPr>
        <w:t xml:space="preserve"> 定期开展绩效管理专题培训，提升工作人员对政策工具的应用能力。鼓励部门设立专职绩效管理岗位，明确职责分工。，实现点到位、精到位，努力完成整体支出等重要工作。</w:t>
      </w:r>
    </w:p>
    <w:p w14:paraId="5E37CD73">
      <w:pPr>
        <w:pStyle w:val="3"/>
        <w:ind w:firstLine="640" w:firstLineChars="200"/>
        <w:rPr>
          <w:rFonts w:hint="eastAsia" w:ascii="黑体" w:hAnsi="宋体" w:eastAsia="黑体" w:cs="仿宋_GB2312"/>
          <w:kern w:val="0"/>
          <w:sz w:val="32"/>
          <w:szCs w:val="32"/>
        </w:rPr>
      </w:pPr>
    </w:p>
    <w:p w14:paraId="40938C49">
      <w:pPr>
        <w:pStyle w:val="3"/>
        <w:ind w:firstLine="640" w:firstLineChars="200"/>
        <w:rPr>
          <w:rFonts w:ascii="黑体" w:hAnsi="宋体" w:eastAsia="黑体" w:cs="仿宋_GB2312"/>
          <w:kern w:val="0"/>
          <w:sz w:val="32"/>
          <w:szCs w:val="32"/>
        </w:rPr>
      </w:pPr>
      <w:r>
        <w:rPr>
          <w:rFonts w:hint="eastAsia" w:ascii="黑体" w:hAnsi="宋体" w:eastAsia="黑体" w:cs="仿宋_GB2312"/>
          <w:kern w:val="0"/>
          <w:sz w:val="32"/>
          <w:szCs w:val="32"/>
        </w:rPr>
        <w:t>六、单位整体支出绩效评价指标评分表</w:t>
      </w:r>
    </w:p>
    <w:p w14:paraId="51004F78">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见附件3-2表</w:t>
      </w:r>
    </w:p>
    <w:p w14:paraId="102A0C5E">
      <w:pPr>
        <w:pStyle w:val="3"/>
      </w:pPr>
    </w:p>
    <w:p w14:paraId="37075168"/>
    <w:sectPr>
      <w:footerReference r:id="rId3" w:type="default"/>
      <w:pgSz w:w="11850" w:h="16783"/>
      <w:pgMar w:top="2098" w:right="1474" w:bottom="1984" w:left="1588" w:header="851" w:footer="992" w:gutter="0"/>
      <w:cols w:space="720" w:num="1"/>
      <w:docGrid w:type="lines" w:linePitch="57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ZXBSJW--GB1-0">
    <w:altName w:val="仿宋_GB2312"/>
    <w:panose1 w:val="00000000000000000000"/>
    <w:charset w:val="86"/>
    <w:family w:val="auto"/>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CF2BA">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1C354B"/>
    <w:multiLevelType w:val="singleLevel"/>
    <w:tmpl w:val="EF1C354B"/>
    <w:lvl w:ilvl="0" w:tentative="0">
      <w:start w:val="3"/>
      <w:numFmt w:val="decimal"/>
      <w:suff w:val="space"/>
      <w:lvlText w:val="%1."/>
      <w:lvlJc w:val="left"/>
    </w:lvl>
  </w:abstractNum>
  <w:abstractNum w:abstractNumId="1">
    <w:nsid w:val="4958DF5D"/>
    <w:multiLevelType w:val="singleLevel"/>
    <w:tmpl w:val="4958DF5D"/>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28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EC1784"/>
    <w:rsid w:val="0008017D"/>
    <w:rsid w:val="000B33C0"/>
    <w:rsid w:val="000B691E"/>
    <w:rsid w:val="000C0B44"/>
    <w:rsid w:val="00126ED9"/>
    <w:rsid w:val="001D310A"/>
    <w:rsid w:val="00375D46"/>
    <w:rsid w:val="00396310"/>
    <w:rsid w:val="003B65A3"/>
    <w:rsid w:val="00457765"/>
    <w:rsid w:val="0052795B"/>
    <w:rsid w:val="005A6790"/>
    <w:rsid w:val="00662EAD"/>
    <w:rsid w:val="00693D3D"/>
    <w:rsid w:val="008829DE"/>
    <w:rsid w:val="0092664C"/>
    <w:rsid w:val="00AC5AEF"/>
    <w:rsid w:val="00B3247A"/>
    <w:rsid w:val="00C76EDD"/>
    <w:rsid w:val="00C8174E"/>
    <w:rsid w:val="00D237F2"/>
    <w:rsid w:val="00D36BBA"/>
    <w:rsid w:val="00DC32BF"/>
    <w:rsid w:val="00DD564C"/>
    <w:rsid w:val="00DF1DA4"/>
    <w:rsid w:val="00E30C6E"/>
    <w:rsid w:val="00EC1784"/>
    <w:rsid w:val="00F31D47"/>
    <w:rsid w:val="074D4107"/>
    <w:rsid w:val="0ABB440A"/>
    <w:rsid w:val="0AD8682D"/>
    <w:rsid w:val="0DB34406"/>
    <w:rsid w:val="1B866CAC"/>
    <w:rsid w:val="1CF15729"/>
    <w:rsid w:val="2CB30354"/>
    <w:rsid w:val="2D3043FB"/>
    <w:rsid w:val="2E2C1D2C"/>
    <w:rsid w:val="4A800BE6"/>
    <w:rsid w:val="4E41243B"/>
    <w:rsid w:val="4F9DCB27"/>
    <w:rsid w:val="53076C5A"/>
    <w:rsid w:val="53E93741"/>
    <w:rsid w:val="5B4579C8"/>
    <w:rsid w:val="64496183"/>
    <w:rsid w:val="6B284529"/>
    <w:rsid w:val="6E8B2264"/>
    <w:rsid w:val="79377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500" w:lineRule="exact"/>
      <w:ind w:firstLine="420"/>
    </w:pPr>
    <w:rPr>
      <w:rFonts w:eastAsia="楷体_GB2312"/>
      <w:sz w:val="28"/>
    </w:rPr>
  </w:style>
  <w:style w:type="paragraph" w:styleId="3">
    <w:name w:val="Body Text"/>
    <w:basedOn w:val="1"/>
    <w:next w:val="4"/>
    <w:qFormat/>
    <w:uiPriority w:val="0"/>
    <w:pPr>
      <w:spacing w:after="120"/>
    </w:pPr>
    <w:rPr>
      <w:szCs w:val="21"/>
    </w:rPr>
  </w:style>
  <w:style w:type="paragraph" w:customStyle="1" w:styleId="4">
    <w:name w:val="Quote"/>
    <w:basedOn w:val="1"/>
    <w:next w:val="1"/>
    <w:qFormat/>
    <w:uiPriority w:val="0"/>
    <w:pPr>
      <w:wordWrap w:val="0"/>
      <w:spacing w:before="200" w:after="160"/>
      <w:ind w:left="864" w:right="864"/>
      <w:jc w:val="center"/>
    </w:pPr>
    <w:rPr>
      <w:rFonts w:eastAsia="微软雅黑"/>
      <w:i/>
    </w:rPr>
  </w:style>
  <w:style w:type="paragraph" w:styleId="5">
    <w:name w:val="footer"/>
    <w:basedOn w:val="1"/>
    <w:link w:val="12"/>
    <w:qFormat/>
    <w:uiPriority w:val="0"/>
    <w:pPr>
      <w:tabs>
        <w:tab w:val="center" w:pos="4153"/>
        <w:tab w:val="right" w:pos="8306"/>
      </w:tabs>
      <w:snapToGrid w:val="0"/>
      <w:jc w:val="left"/>
    </w:pPr>
    <w:rPr>
      <w:sz w:val="18"/>
    </w:rPr>
  </w:style>
  <w:style w:type="paragraph" w:styleId="6">
    <w:name w:val="header"/>
    <w:basedOn w:val="1"/>
    <w:link w:val="1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页眉 Char"/>
    <w:basedOn w:val="9"/>
    <w:link w:val="6"/>
    <w:qFormat/>
    <w:uiPriority w:val="0"/>
    <w:rPr>
      <w:rFonts w:hint="default" w:ascii="Calibri" w:hAnsi="Calibri" w:cs="Calibri"/>
      <w:kern w:val="2"/>
      <w:sz w:val="18"/>
      <w:szCs w:val="18"/>
    </w:rPr>
  </w:style>
  <w:style w:type="character" w:customStyle="1" w:styleId="12">
    <w:name w:val="页脚 Char"/>
    <w:basedOn w:val="9"/>
    <w:link w:val="5"/>
    <w:qFormat/>
    <w:uiPriority w:val="0"/>
    <w:rPr>
      <w:rFonts w:hint="default" w:ascii="Calibri" w:hAnsi="Calibri" w:cs="Calibri"/>
      <w:kern w:val="2"/>
      <w:sz w:val="18"/>
      <w:szCs w:val="18"/>
    </w:rPr>
  </w:style>
  <w:style w:type="paragraph" w:customStyle="1" w:styleId="13">
    <w:name w:val="msolistparagraph"/>
    <w:basedOn w:val="1"/>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9</Pages>
  <Words>3779</Words>
  <Characters>3867</Characters>
  <Lines>2</Lines>
  <Paragraphs>1</Paragraphs>
  <TotalTime>4</TotalTime>
  <ScaleCrop>false</ScaleCrop>
  <LinksUpToDate>false</LinksUpToDate>
  <CharactersWithSpaces>3957</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2025-01-13T14:52:00Z</dcterms:created>
  <dc:creator>Administrator</dc:creator>
  <cp:lastModifiedBy>凯凯</cp:lastModifiedBy>
  <dcterms:modified xsi:type="dcterms:W3CDTF">2026-04-30T14:55:59Z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KSOTemplateDocerSaveRecord">
    <vt:lpwstr>eyJoZGlkIjoiYWVkNmU5ZWY4NjhhYzk1NTI2NTI3NzY4MDBhMGE1MzkiLCJ1c2VySWQiOiIzNjE5MTc5ODMifQ==</vt:lpwstr>
  </property>
  <property fmtid="{D5CDD505-2E9C-101B-9397-08002B2CF9AE}" pid="4" name="ICV">
    <vt:lpwstr>286F8E903826428490A5695DA4A4E56F_12</vt:lpwstr>
  </property>
</Properties>
</file>