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60" w:lineRule="exact"/>
        <w:jc w:val="left"/>
        <w:rPr>
          <w:rFonts w:ascii="黑体" w:hAnsi="Times New Roman" w:eastAsia="黑体" w:cs="黑体"/>
          <w:kern w:val="0"/>
          <w:szCs w:val="32"/>
        </w:rPr>
      </w:pPr>
      <w:r>
        <w:rPr>
          <w:rFonts w:hint="eastAsia" w:ascii="黑体" w:hAnsi="Times New Roman" w:eastAsia="黑体" w:cs="黑体"/>
          <w:kern w:val="0"/>
          <w:sz w:val="32"/>
          <w:szCs w:val="32"/>
        </w:rPr>
        <w:t>附件2-1：</w:t>
      </w:r>
    </w:p>
    <w:p>
      <w:pPr>
        <w:autoSpaceDE w:val="0"/>
        <w:autoSpaceDN w:val="0"/>
        <w:adjustRightInd w:val="0"/>
        <w:spacing w:line="560" w:lineRule="exact"/>
        <w:jc w:val="center"/>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项目支出部门评价报告</w:t>
      </w:r>
    </w:p>
    <w:p>
      <w:pPr>
        <w:autoSpaceDE w:val="0"/>
        <w:autoSpaceDN w:val="0"/>
        <w:adjustRightInd w:val="0"/>
        <w:spacing w:line="560" w:lineRule="exact"/>
        <w:jc w:val="center"/>
        <w:rPr>
          <w:rFonts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w:t>
      </w:r>
      <w:r>
        <w:rPr>
          <w:rFonts w:hint="eastAsia" w:ascii="楷体_GB2312" w:hAnsi="楷体_GB2312" w:eastAsia="楷体_GB2312" w:cs="楷体_GB2312"/>
          <w:kern w:val="0"/>
          <w:sz w:val="32"/>
          <w:szCs w:val="32"/>
          <w:lang w:val="en-US" w:eastAsia="zh-CN"/>
        </w:rPr>
        <w:t>2025</w:t>
      </w:r>
      <w:r>
        <w:rPr>
          <w:rFonts w:hint="eastAsia" w:ascii="楷体_GB2312" w:hAnsi="楷体_GB2312" w:eastAsia="楷体_GB2312" w:cs="楷体_GB2312"/>
          <w:kern w:val="0"/>
          <w:sz w:val="32"/>
          <w:szCs w:val="32"/>
        </w:rPr>
        <w:t>年度）</w:t>
      </w:r>
    </w:p>
    <w:p>
      <w:pPr>
        <w:autoSpaceDE w:val="0"/>
        <w:autoSpaceDN w:val="0"/>
        <w:adjustRightInd w:val="0"/>
        <w:spacing w:line="560" w:lineRule="exact"/>
        <w:ind w:firstLine="640" w:firstLineChars="200"/>
        <w:jc w:val="left"/>
        <w:rPr>
          <w:rFonts w:ascii="黑体" w:hAnsi="宋体" w:eastAsia="黑体" w:cs="仿宋_GB2312"/>
          <w:kern w:val="0"/>
          <w:szCs w:val="32"/>
        </w:rPr>
      </w:pPr>
      <w:r>
        <w:rPr>
          <w:rFonts w:hint="eastAsia" w:ascii="黑体" w:hAnsi="宋体" w:eastAsia="黑体" w:cs="仿宋_GB2312"/>
          <w:kern w:val="0"/>
          <w:sz w:val="32"/>
          <w:szCs w:val="32"/>
        </w:rPr>
        <w:t>一、基本情况</w:t>
      </w:r>
    </w:p>
    <w:p>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（一）项目概况。包括项目背景、主要内容及实施情况、资金投入和使用情况等。</w:t>
      </w:r>
    </w:p>
    <w:p>
      <w:pPr>
        <w:spacing w:line="560" w:lineRule="exact"/>
        <w:ind w:firstLine="645"/>
        <w:rPr>
          <w:rFonts w:hint="eastAsia"/>
          <w:lang w:val="en-US" w:eastAsia="zh-CN"/>
        </w:rPr>
      </w:pPr>
      <w:r>
        <w:rPr>
          <w:rFonts w:hint="eastAsia" w:ascii="仿宋" w:hAnsi="仿宋" w:eastAsia="仿宋" w:cs="仿宋"/>
          <w:b w:val="0"/>
          <w:bCs w:val="0"/>
          <w:color w:val="000000"/>
          <w:sz w:val="32"/>
          <w:szCs w:val="32"/>
          <w:lang w:val="en-US" w:eastAsia="zh-CN"/>
        </w:rPr>
        <w:t>全面贯彻党的二十大精神，深入贯彻习近平总书记系列重要讲话精神和治国理政新理念新思想新战略，紧紧围绕统筹推进“五位一体”总体布局和协调推进“四个全面”战略布局。对于“网报奖励”项目进行评价，能够掌握“网报奖励”项目资金状况，通过数据指标表明是推进网络办公重要支撑。为进一步规范和加强部门财政预算绩效管理,提高项目支出的经济性、效益性和效率性,按照南昌县政府对财政工作的总体要求,我部门对2025年度“网报奖励”项目进行了自我绩效评价。</w:t>
      </w:r>
      <w:bookmarkStart w:id="14" w:name="_GoBack"/>
      <w:bookmarkEnd w:id="14"/>
    </w:p>
    <w:p>
      <w:pPr>
        <w:pStyle w:val="2"/>
        <w:numPr>
          <w:ilvl w:val="0"/>
          <w:numId w:val="1"/>
        </w:numPr>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项目绩效目标。包括总体目标和阶段性目标。</w:t>
      </w:r>
    </w:p>
    <w:p>
      <w:pPr>
        <w:pStyle w:val="2"/>
        <w:numPr>
          <w:ilvl w:val="0"/>
          <w:numId w:val="0"/>
        </w:numPr>
        <w:ind w:firstLine="320" w:firstLineChars="100"/>
        <w:rPr>
          <w:rFonts w:hint="eastAsia" w:ascii="黑体" w:hAnsi="宋体" w:eastAsia="黑体" w:cs="仿宋_GB2312"/>
          <w:kern w:val="0"/>
          <w:sz w:val="32"/>
          <w:szCs w:val="32"/>
        </w:rPr>
      </w:pPr>
      <w:r>
        <w:rPr>
          <w:rFonts w:hint="eastAsia" w:ascii="仿宋" w:hAnsi="仿宋" w:eastAsia="仿宋" w:cs="仿宋"/>
          <w:b w:val="0"/>
          <w:bCs w:val="0"/>
          <w:color w:val="000000"/>
          <w:sz w:val="32"/>
          <w:szCs w:val="32"/>
          <w:lang w:val="en-US" w:eastAsia="zh-CN"/>
        </w:rPr>
        <w:t>2025年度“网报奖励”项目综合完成率为100.00%，项目整体工作基本完成，切实保障 “网报奖励”项目数据质量，有效促进“网报奖励”项目服务工作推广的全面提升。</w:t>
      </w:r>
    </w:p>
    <w:p>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黑体" w:hAnsi="宋体" w:eastAsia="黑体" w:cs="仿宋_GB2312"/>
          <w:kern w:val="0"/>
          <w:sz w:val="32"/>
          <w:szCs w:val="32"/>
        </w:rPr>
        <w:t>二、绩效评价工作开展情况</w:t>
      </w:r>
    </w:p>
    <w:p>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（一）绩效评价目的、对象和范围。</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1.绩效评价目的</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根据编制年度预算时提交的财政支出项目绩效目标申报表及项目设定的预期目标，选择合适的评价指标和标准，运用科学的评价方法，对资金使用全过程及其支出的经济性、效率性和效益性进行客观公正的综合评价，以衡量财政资金的使用绩效，分析支出项目是否达到预期目标。同时，及时总结经验，分析存在问题，进一步改进和加强资金管理，提高财政资金的使用效益。</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2.评价对象</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2025年度“网报奖励”项目，南昌县统计局为项目主管单位，由南昌县统计局各股室及相关单位组织实施，落实项目的监督管理工作，监控项目实施成效，以保证项目合规、高效完成。</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3.评价范围</w:t>
      </w:r>
    </w:p>
    <w:p>
      <w:pPr>
        <w:spacing w:line="560" w:lineRule="exact"/>
        <w:ind w:firstLine="645"/>
        <w:rPr>
          <w:rFonts w:hint="eastAsia" w:ascii="仿宋_GB2312" w:hAnsi="Times New Roman" w:eastAsia="仿宋_GB2312" w:cs="仿宋_GB2312"/>
          <w:kern w:val="0"/>
          <w:sz w:val="32"/>
          <w:szCs w:val="32"/>
        </w:rPr>
      </w:pPr>
      <w:r>
        <w:rPr>
          <w:rFonts w:hint="eastAsia" w:ascii="仿宋" w:hAnsi="仿宋" w:eastAsia="仿宋" w:cs="仿宋"/>
          <w:b w:val="0"/>
          <w:bCs w:val="0"/>
          <w:color w:val="000000"/>
          <w:sz w:val="32"/>
          <w:szCs w:val="32"/>
          <w:lang w:val="en-US" w:eastAsia="zh-CN"/>
        </w:rPr>
        <w:t>2025年度“网报奖励”项目，预算批复资金为160万元；实施范围为网报项目工作；包括项目具体申报、实施、完成情况以及公众满意度等；评价项目时段为2025年1月1日至2025年12月31日。</w:t>
      </w:r>
    </w:p>
    <w:p>
      <w:pPr>
        <w:numPr>
          <w:ilvl w:val="0"/>
          <w:numId w:val="2"/>
        </w:num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绩效评价原则、评价指标体系、评价方法、评价标准等。</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1.绩效评价原则</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绩效评价遵循以下基本原则：</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（一）科学公正。</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（二）统筹兼顾。</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（三）激励约束。</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（四）公开透明。</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2.评价指标体系</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 xml:space="preserve">根据财政部《预算绩效评价共性指标体系框架》等文件精神，确定本次绩效评价指标的整体框架。针对项目构建一套指标体系，项目指标包括 ：        </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1）项目概述：推网报奖励工作项目规范化建设，全方位提高网报奖励工作项目到位情况。</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2）实施主体：南昌县统计局</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3）实施周期：2025年</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4）年度预算安排：160万元</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5）绩效目标和指标：</w:t>
      </w:r>
    </w:p>
    <w:p>
      <w:pPr>
        <w:spacing w:line="560" w:lineRule="exact"/>
        <w:ind w:firstLine="645"/>
        <w:rPr>
          <w:rFonts w:hint="eastAsia" w:ascii="仿宋" w:hAnsi="仿宋" w:eastAsia="仿宋" w:cs="仿宋"/>
          <w:b w:val="0"/>
          <w:bCs w:val="0"/>
          <w:color w:val="0000FF"/>
          <w:sz w:val="32"/>
          <w:szCs w:val="32"/>
          <w:lang w:val="en-US" w:eastAsia="zh-CN"/>
        </w:rPr>
      </w:pPr>
      <w:r>
        <w:rPr>
          <w:rFonts w:hint="eastAsia" w:ascii="仿宋" w:hAnsi="仿宋" w:eastAsia="仿宋" w:cs="仿宋"/>
          <w:b w:val="0"/>
          <w:bCs w:val="0"/>
          <w:color w:val="000000"/>
          <w:sz w:val="32"/>
          <w:szCs w:val="32"/>
          <w:lang w:val="en-US" w:eastAsia="zh-CN"/>
        </w:rPr>
        <w:t>数量指标：</w:t>
      </w:r>
      <w:r>
        <w:rPr>
          <w:rFonts w:hint="eastAsia" w:ascii="仿宋" w:hAnsi="仿宋" w:eastAsia="仿宋" w:cs="仿宋"/>
          <w:b w:val="0"/>
          <w:bCs w:val="0"/>
          <w:color w:val="0000FF"/>
          <w:sz w:val="32"/>
          <w:szCs w:val="32"/>
          <w:lang w:val="en-US" w:eastAsia="zh-CN"/>
        </w:rPr>
        <w:t>乡镇统计数量逐年增加</w:t>
      </w:r>
    </w:p>
    <w:p>
      <w:pPr>
        <w:spacing w:line="560" w:lineRule="exact"/>
        <w:ind w:firstLine="645"/>
        <w:rPr>
          <w:rFonts w:hint="eastAsia" w:ascii="仿宋" w:hAnsi="仿宋" w:eastAsia="仿宋" w:cs="仿宋"/>
          <w:b w:val="0"/>
          <w:bCs w:val="0"/>
          <w:color w:val="0000FF"/>
          <w:sz w:val="32"/>
          <w:szCs w:val="32"/>
          <w:lang w:val="en-US" w:eastAsia="zh-CN"/>
        </w:rPr>
      </w:pPr>
      <w:r>
        <w:rPr>
          <w:rFonts w:hint="eastAsia" w:ascii="仿宋" w:hAnsi="仿宋" w:eastAsia="仿宋" w:cs="仿宋"/>
          <w:b w:val="0"/>
          <w:bCs w:val="0"/>
          <w:color w:val="0000FF"/>
          <w:sz w:val="32"/>
          <w:szCs w:val="32"/>
          <w:lang w:val="en-US" w:eastAsia="zh-CN"/>
        </w:rPr>
        <w:t>质量指标：年底统计考核工作完成率　</w:t>
      </w:r>
    </w:p>
    <w:p>
      <w:pPr>
        <w:spacing w:line="560" w:lineRule="exact"/>
        <w:ind w:firstLine="645"/>
        <w:rPr>
          <w:rFonts w:hint="default" w:ascii="仿宋" w:hAnsi="仿宋" w:eastAsia="仿宋" w:cs="仿宋"/>
          <w:b w:val="0"/>
          <w:bCs w:val="0"/>
          <w:color w:val="0000FF"/>
          <w:sz w:val="32"/>
          <w:szCs w:val="32"/>
          <w:lang w:val="en-US" w:eastAsia="zh-CN"/>
        </w:rPr>
      </w:pPr>
      <w:r>
        <w:rPr>
          <w:rFonts w:hint="eastAsia" w:ascii="仿宋" w:hAnsi="仿宋" w:eastAsia="仿宋" w:cs="仿宋"/>
          <w:b w:val="0"/>
          <w:bCs w:val="0"/>
          <w:color w:val="0000FF"/>
          <w:sz w:val="32"/>
          <w:szCs w:val="32"/>
          <w:lang w:val="en-US" w:eastAsia="zh-CN"/>
        </w:rPr>
        <w:t>时效指标：统计经费及时发放到位</w:t>
      </w:r>
    </w:p>
    <w:p>
      <w:pPr>
        <w:spacing w:line="560" w:lineRule="exact"/>
        <w:ind w:firstLine="645"/>
        <w:rPr>
          <w:rFonts w:hint="eastAsia" w:ascii="仿宋" w:hAnsi="仿宋" w:eastAsia="仿宋" w:cs="仿宋"/>
          <w:b w:val="0"/>
          <w:bCs w:val="0"/>
          <w:color w:val="0000FF"/>
          <w:sz w:val="32"/>
          <w:szCs w:val="32"/>
          <w:lang w:val="en-US" w:eastAsia="zh-CN"/>
        </w:rPr>
      </w:pPr>
      <w:r>
        <w:rPr>
          <w:rFonts w:hint="eastAsia" w:ascii="仿宋" w:hAnsi="仿宋" w:eastAsia="仿宋" w:cs="仿宋"/>
          <w:b w:val="0"/>
          <w:bCs w:val="0"/>
          <w:color w:val="0000FF"/>
          <w:sz w:val="32"/>
          <w:szCs w:val="32"/>
          <w:lang w:val="en-US" w:eastAsia="zh-CN"/>
        </w:rPr>
        <w:t>成本指标：统计涉及21个乡镇</w:t>
      </w:r>
    </w:p>
    <w:p>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社会效益指标：促进县域经济发展</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满意度：群众满意度提升</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3.评价方法</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主要采用因素分析法和数据对比法。因素分析法评价项目实施的整体情况是否符合实际需要，数据对比法则反映的是项目运行的持续性和质量的可控性。</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4.评价标准</w:t>
      </w:r>
    </w:p>
    <w:p>
      <w:pPr>
        <w:spacing w:line="560" w:lineRule="exact"/>
        <w:ind w:firstLine="645"/>
      </w:pPr>
      <w:r>
        <w:rPr>
          <w:rFonts w:hint="eastAsia" w:ascii="仿宋" w:hAnsi="仿宋" w:eastAsia="仿宋" w:cs="仿宋"/>
          <w:b w:val="0"/>
          <w:bCs w:val="0"/>
          <w:color w:val="000000"/>
          <w:sz w:val="32"/>
          <w:szCs w:val="32"/>
          <w:lang w:val="en-US" w:eastAsia="zh-CN"/>
        </w:rPr>
        <w:t>绩效评价标准是财政支出绩效目标完成程度的衡量尺度。通过评价标准判断评价指标的合理与重要性程度，作为评价工作的基本准绳和标尺，决定了评价目标的实现与否以及评价结果的准确与否，并作为评价计分的依据。</w:t>
      </w:r>
    </w:p>
    <w:p>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（三）绩效评价工作过程。</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实施本次绩效评价，首先根据项目预先设立的绩效目标、项目管理办法、专项资金管理办法、项目实施方案等资料，选择合适的评价指标和标准，同时明确本次绩效评价的目的、方法、评价的原则、评价标准、时间安排等，形成绩效评价工作方案。提交部门审核，并根据审核意见进一步修改和完善绩效评价工作方案。</w:t>
      </w:r>
    </w:p>
    <w:p>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黑体" w:hAnsi="宋体" w:eastAsia="黑体" w:cs="仿宋_GB2312"/>
          <w:kern w:val="0"/>
          <w:sz w:val="32"/>
          <w:szCs w:val="32"/>
        </w:rPr>
        <w:t>三、综合评价情况及评价结论</w:t>
      </w:r>
    </w:p>
    <w:p>
      <w:pPr>
        <w:autoSpaceDE w:val="0"/>
        <w:autoSpaceDN w:val="0"/>
        <w:adjustRightInd w:val="0"/>
        <w:spacing w:line="560" w:lineRule="exact"/>
        <w:ind w:firstLine="640" w:firstLineChars="200"/>
        <w:jc w:val="left"/>
        <w:rPr>
          <w:rFonts w:hint="eastAsia" w:ascii="黑体" w:hAnsi="宋体" w:eastAsia="黑体" w:cs="仿宋_GB2312"/>
          <w:kern w:val="0"/>
          <w:sz w:val="32"/>
          <w:szCs w:val="32"/>
        </w:rPr>
      </w:pPr>
      <w:r>
        <w:rPr>
          <w:rFonts w:hint="eastAsia" w:ascii="仿宋" w:hAnsi="仿宋" w:eastAsia="仿宋" w:cs="仿宋"/>
          <w:b w:val="0"/>
          <w:bCs w:val="0"/>
          <w:color w:val="000000"/>
          <w:sz w:val="32"/>
          <w:szCs w:val="32"/>
          <w:lang w:val="en-US" w:eastAsia="zh-CN"/>
        </w:rPr>
        <w:t>围绕绩效评价指标体系，通过数据采集分析，财务核查、实地核查及深度访谈等方式，对该项目绩效进行了客观、公正、合理、有效的评价，依据财政绩效评价等级划分评分为96分，本项目绩效评价等级为“优”</w:t>
      </w:r>
      <w:r>
        <w:rPr>
          <w:rFonts w:hint="eastAsia" w:ascii="仿宋" w:hAnsi="仿宋" w:eastAsia="仿宋" w:cs="仿宋"/>
          <w:b w:val="0"/>
          <w:bCs w:val="0"/>
          <w:color w:val="000000"/>
          <w:sz w:val="28"/>
          <w:szCs w:val="28"/>
          <w:lang w:val="en-US" w:eastAsia="zh-CN"/>
        </w:rPr>
        <w:t>。</w:t>
      </w:r>
    </w:p>
    <w:p>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黑体" w:hAnsi="宋体" w:eastAsia="黑体" w:cs="仿宋_GB2312"/>
          <w:kern w:val="0"/>
          <w:sz w:val="32"/>
          <w:szCs w:val="32"/>
        </w:rPr>
        <w:t>四、绩效评价指标分析</w:t>
      </w:r>
    </w:p>
    <w:p>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（一）项目决策情况。</w:t>
      </w:r>
    </w:p>
    <w:p>
      <w:pPr>
        <w:spacing w:line="560" w:lineRule="exact"/>
        <w:ind w:firstLine="645"/>
        <w:rPr>
          <w:rFonts w:hint="eastAsia" w:ascii="仿宋" w:hAnsi="仿宋" w:eastAsia="仿宋" w:cs="仿宋"/>
          <w:b w:val="0"/>
          <w:bCs w:val="0"/>
          <w:color w:val="000000"/>
          <w:sz w:val="32"/>
          <w:szCs w:val="32"/>
          <w:lang w:val="en-US" w:eastAsia="zh-CN"/>
        </w:rPr>
      </w:pPr>
      <w:bookmarkStart w:id="0" w:name="_Toc28727"/>
      <w:bookmarkStart w:id="1" w:name="_Toc22622"/>
      <w:r>
        <w:rPr>
          <w:rFonts w:hint="eastAsia" w:ascii="仿宋" w:hAnsi="仿宋" w:eastAsia="仿宋" w:cs="仿宋"/>
          <w:b w:val="0"/>
          <w:bCs w:val="0"/>
          <w:color w:val="000000"/>
          <w:sz w:val="32"/>
          <w:szCs w:val="32"/>
          <w:lang w:val="en-US" w:eastAsia="zh-CN"/>
        </w:rPr>
        <w:t>1.项目立项（6分）</w:t>
      </w:r>
      <w:bookmarkEnd w:id="0"/>
      <w:bookmarkEnd w:id="1"/>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（1）立项依据充分性（3分）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立项依据符合国家法律法规、国民经济发展规划和相关政策，且项目未与相关部门同类项目或部门内部相关项目重复。根据评分标准，该指标得分3.00分。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（2）立项程序规范性（3分）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通过核查项目业务资料，我局依据相关文件申请2025年度“网报奖励”项目，编制项目绩效目标申报表，各项提交的文件、材料符合相关要求，项目立项程序规范。根据评分标准，该指标得分3.00分。</w:t>
      </w:r>
    </w:p>
    <w:p>
      <w:pPr>
        <w:spacing w:line="560" w:lineRule="exact"/>
        <w:ind w:firstLine="645"/>
        <w:rPr>
          <w:rFonts w:hint="eastAsia" w:ascii="仿宋" w:hAnsi="仿宋" w:eastAsia="仿宋" w:cs="仿宋"/>
          <w:b w:val="0"/>
          <w:bCs w:val="0"/>
          <w:color w:val="000000"/>
          <w:sz w:val="32"/>
          <w:szCs w:val="32"/>
          <w:lang w:val="en-US" w:eastAsia="zh-CN"/>
        </w:rPr>
      </w:pPr>
      <w:bookmarkStart w:id="2" w:name="_Toc15521"/>
      <w:bookmarkStart w:id="3" w:name="_Toc16935"/>
      <w:r>
        <w:rPr>
          <w:rFonts w:hint="eastAsia" w:ascii="仿宋" w:hAnsi="仿宋" w:eastAsia="仿宋" w:cs="仿宋"/>
          <w:b w:val="0"/>
          <w:bCs w:val="0"/>
          <w:color w:val="000000"/>
          <w:sz w:val="32"/>
          <w:szCs w:val="32"/>
          <w:lang w:val="en-US" w:eastAsia="zh-CN"/>
        </w:rPr>
        <w:t>2.绩效目标（4分）</w:t>
      </w:r>
      <w:bookmarkEnd w:id="2"/>
      <w:bookmarkEnd w:id="3"/>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（1）绩效目标合理性（2分）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项目绩效目标与项目实施是否相符设立此指标。通过核查项目业务资料，我局依据相关文件申请2025年度“网报奖励”项目绩效目标表，绩效目标与实际工作内容相关，预期产出效益和效果符合正常的业绩水平。根据评分标准，该指标得分2.00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（2）绩效指标明确性（2分）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我那你局依据相关文件申请2025年度“网报奖励”项目目标清晰，绩效指标与项目目标任务数相对应；但项目效益绩效目标未细化分解为具体的生态、可持续影响等绩效指标，绩效指标与项目目标未完全对应。根据评分标准，该指标得分2.00分。</w:t>
      </w:r>
      <w:bookmarkStart w:id="4" w:name="_Toc27649"/>
      <w:bookmarkStart w:id="5" w:name="_Toc19426"/>
    </w:p>
    <w:bookmarkEnd w:id="4"/>
    <w:bookmarkEnd w:id="5"/>
    <w:p>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（二）项目过程情况。</w:t>
      </w:r>
    </w:p>
    <w:p>
      <w:pPr>
        <w:spacing w:line="560" w:lineRule="exact"/>
        <w:ind w:firstLine="645"/>
        <w:rPr>
          <w:rFonts w:hint="eastAsia" w:ascii="仿宋" w:hAnsi="仿宋" w:eastAsia="仿宋" w:cs="仿宋"/>
          <w:b w:val="0"/>
          <w:bCs w:val="0"/>
          <w:color w:val="000000"/>
          <w:sz w:val="32"/>
          <w:szCs w:val="32"/>
          <w:lang w:val="en-US" w:eastAsia="zh-CN"/>
        </w:rPr>
      </w:pPr>
      <w:bookmarkStart w:id="6" w:name="_Toc8535"/>
      <w:bookmarkStart w:id="7" w:name="_Toc27802"/>
      <w:r>
        <w:rPr>
          <w:rFonts w:hint="eastAsia" w:ascii="仿宋" w:hAnsi="仿宋" w:eastAsia="仿宋" w:cs="仿宋"/>
          <w:b w:val="0"/>
          <w:bCs w:val="0"/>
          <w:color w:val="000000"/>
          <w:sz w:val="32"/>
          <w:szCs w:val="32"/>
          <w:lang w:val="en-US" w:eastAsia="zh-CN"/>
        </w:rPr>
        <w:t>1.资金投入（6分）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和财务资料，我局依据相关文件申请2025年度“网报奖励”项目整体工作任务，编制项目预算，取得项目预算160万元，项目预算内容与项目内容相匹配，预算额度测算依据充分，且确定的项目投资额与工作任务相匹配。根据评分标准，该指标得分6.00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2.资金管理（10分）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（1）资金到位率（2分）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通过核查项目财务资料，2025年度“网报奖励”项目预算资金为160万元，截至2025年12月31日，到位资金160万元，预算资金到位率100.00%。根据评分标准，该指标得分2.00分。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（2）预算执行率（5分）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通过核查项目财务资料，截至2024年12月31日，项目共计到位资金160万元，2025年度“网报奖励”项目实际支出资金160万元，但由于付款执行及时根据评分标准，该指标得分5分。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（3）资金使用合规性（3分）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和财务资料，截至2025年12月31日，项目实际支出资金为160万元，各项资金拨付均有完整的审批程序和手续，各项资金支出符合项目预算方向、国家财经法规和财务管理制度以及有关资金管理办法的规定。根据评分标准，该指标得分3.00分。</w:t>
      </w:r>
    </w:p>
    <w:p>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3.组织实施（4分）</w:t>
      </w:r>
    </w:p>
    <w:p>
      <w:pPr>
        <w:spacing w:line="560" w:lineRule="exact"/>
        <w:ind w:firstLine="645"/>
        <w:rPr>
          <w:rFonts w:hint="eastAsia" w:ascii="仿宋" w:hAnsi="仿宋" w:eastAsia="仿宋" w:cs="仿宋"/>
          <w:b w:val="0"/>
          <w:bCs w:val="0"/>
          <w:color w:val="000000"/>
          <w:sz w:val="32"/>
          <w:szCs w:val="32"/>
          <w:lang w:val="en-US" w:eastAsia="zh-CN"/>
        </w:rPr>
      </w:pPr>
      <w:bookmarkStart w:id="8" w:name="_Toc16530"/>
      <w:bookmarkStart w:id="9" w:name="_Toc3649"/>
      <w:r>
        <w:rPr>
          <w:rFonts w:hint="eastAsia" w:ascii="仿宋" w:hAnsi="仿宋" w:eastAsia="仿宋" w:cs="仿宋"/>
          <w:b w:val="0"/>
          <w:bCs w:val="0"/>
          <w:color w:val="000000"/>
          <w:sz w:val="32"/>
          <w:szCs w:val="32"/>
          <w:lang w:val="en-US" w:eastAsia="zh-CN"/>
        </w:rPr>
        <w:t>（1）管理制度健全性（2分）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通过核查项目业务资料和财务资料，我局依据部门管理制度和财务制度规定，对项目执行与资金支付进行管理。根据评分标准，该指标得分2.00分。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（2）制度执行有效性（2分）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通过核查项目业务资料和财务资料，我局严格按照2025年度“网报奖励”项目要求完成平台项目资金；及时将相关纸质、电子资料归档整理，项目制度执行有效。根据评分标准，该指标得分2.00分。</w:t>
      </w:r>
      <w:bookmarkEnd w:id="8"/>
      <w:bookmarkEnd w:id="9"/>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（三）效益情况（20分）</w:t>
      </w:r>
      <w:bookmarkEnd w:id="6"/>
      <w:bookmarkEnd w:id="7"/>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2025年度“网报奖励”项目效益情况</w:t>
      </w:r>
      <w:bookmarkStart w:id="10" w:name="_Toc2358"/>
      <w:bookmarkStart w:id="11" w:name="_Toc24925"/>
      <w:r>
        <w:rPr>
          <w:rFonts w:hint="eastAsia" w:ascii="仿宋" w:hAnsi="仿宋" w:eastAsia="仿宋" w:cs="仿宋"/>
          <w:b w:val="0"/>
          <w:bCs w:val="0"/>
          <w:color w:val="000000"/>
          <w:sz w:val="32"/>
          <w:szCs w:val="32"/>
          <w:lang w:val="en-US" w:eastAsia="zh-CN"/>
        </w:rPr>
        <w:t>，通过核查项目业务资料2025年度“网报奖励”项目，预期效益和全面提高网报指标，根据评分标准，该指标得19.00分</w:t>
      </w:r>
    </w:p>
    <w:bookmarkEnd w:id="10"/>
    <w:bookmarkEnd w:id="11"/>
    <w:p>
      <w:pPr>
        <w:spacing w:line="560" w:lineRule="exact"/>
        <w:ind w:firstLine="645"/>
        <w:rPr>
          <w:rFonts w:hint="eastAsia" w:ascii="仿宋" w:hAnsi="仿宋" w:eastAsia="仿宋" w:cs="仿宋"/>
          <w:b w:val="0"/>
          <w:bCs w:val="0"/>
          <w:color w:val="000000"/>
          <w:sz w:val="32"/>
          <w:szCs w:val="32"/>
          <w:lang w:val="en-US" w:eastAsia="zh-CN"/>
        </w:rPr>
      </w:pPr>
      <w:bookmarkStart w:id="12" w:name="_Toc29217"/>
      <w:bookmarkStart w:id="13" w:name="_Toc15816"/>
      <w:r>
        <w:rPr>
          <w:rFonts w:hint="eastAsia" w:ascii="仿宋" w:hAnsi="仿宋" w:eastAsia="仿宋" w:cs="仿宋"/>
          <w:b w:val="0"/>
          <w:bCs w:val="0"/>
          <w:color w:val="000000"/>
          <w:sz w:val="32"/>
          <w:szCs w:val="32"/>
          <w:lang w:val="en-US" w:eastAsia="zh-CN"/>
        </w:rPr>
        <w:t>（四）服务对象满意度（10分）</w:t>
      </w:r>
      <w:bookmarkEnd w:id="12"/>
      <w:bookmarkEnd w:id="13"/>
    </w:p>
    <w:p>
      <w:pPr>
        <w:spacing w:line="560" w:lineRule="exact"/>
        <w:ind w:firstLine="645"/>
        <w:rPr>
          <w:rFonts w:hint="eastAsia" w:ascii="仿宋_GB2312" w:hAnsi="Times New Roman" w:eastAsia="仿宋_GB2312" w:cs="仿宋_GB2312"/>
          <w:kern w:val="0"/>
          <w:sz w:val="32"/>
          <w:szCs w:val="32"/>
        </w:rPr>
      </w:pPr>
      <w:r>
        <w:rPr>
          <w:rFonts w:hint="eastAsia" w:ascii="仿宋" w:hAnsi="仿宋" w:eastAsia="仿宋" w:cs="仿宋"/>
          <w:b w:val="0"/>
          <w:bCs w:val="0"/>
          <w:color w:val="000000"/>
          <w:sz w:val="32"/>
          <w:szCs w:val="32"/>
          <w:lang w:val="en-US" w:eastAsia="zh-CN"/>
        </w:rPr>
        <w:t>为了解南昌县辖区居民对2025年度“网报奖励”项目整体满意度以及为保障项目实施有效性设立此项目标。通过实地面访、电访南昌县辖区居民，了解到南昌县辖区居民对该项目的总体满意度为98.00%。根据评分标准，该指标得10.00分。</w:t>
      </w:r>
    </w:p>
    <w:p>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（三）项目产出情况。</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2025年度“网报奖励”项目情况得分如下：</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1.2025年度“网报奖励”项目产出数量（20分）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通过核查项目业务资料，2025年度“网报奖励”项目完成率100.00%。根据评分标准，该指标得20.00分。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2.产出质量（10分）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通过核查项目业务资料，网报奖励项目有效性为100.00%。根据评分标准，该指标得9.00分。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3.产出时效（10分）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通过核查项目业务资料，截至2025年12月31日，2025年度“网报奖励”项目实际发生应拨付资金为160万元，及时拨付160万元，资金拨付及时性100.00%，项目资金拨付均及时根据评分标准，该指标得9.00分。</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4.产出成本（10分）</w:t>
      </w:r>
    </w:p>
    <w:p>
      <w:pPr>
        <w:spacing w:line="560" w:lineRule="exact"/>
        <w:ind w:firstLine="645"/>
      </w:pPr>
      <w:r>
        <w:rPr>
          <w:rFonts w:hint="eastAsia" w:ascii="仿宋" w:hAnsi="仿宋" w:eastAsia="仿宋" w:cs="仿宋"/>
          <w:b w:val="0"/>
          <w:bCs w:val="0"/>
          <w:color w:val="000000"/>
          <w:sz w:val="32"/>
          <w:szCs w:val="32"/>
          <w:lang w:val="en-US" w:eastAsia="zh-CN"/>
        </w:rPr>
        <w:t>通过核查项目财务资料，2025年度“网报奖励”项目计划成本为160万元，实际成本160万元，根据评分标准，该指标得9.00分。</w:t>
      </w:r>
    </w:p>
    <w:p>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（四）项目效益情况。</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2025年度“网报奖励”项目效益情况，通过核查项目业务资料2025年度“网报奖励”项目，预期效益和全面提高网报奖励指标，根据评分标准，该指标得19.00分</w:t>
      </w:r>
    </w:p>
    <w:p>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黑体" w:hAnsi="宋体" w:eastAsia="黑体" w:cs="仿宋_GB2312"/>
          <w:kern w:val="0"/>
          <w:sz w:val="32"/>
          <w:szCs w:val="32"/>
        </w:rPr>
        <w:t>五、主要经验及做法、存在的问题及原因分析</w:t>
      </w:r>
    </w:p>
    <w:p>
      <w:pPr>
        <w:autoSpaceDE w:val="0"/>
        <w:autoSpaceDN w:val="0"/>
        <w:adjustRightInd w:val="0"/>
        <w:spacing w:line="560" w:lineRule="exact"/>
        <w:ind w:firstLine="640" w:firstLineChars="200"/>
        <w:jc w:val="left"/>
        <w:rPr>
          <w:rFonts w:hint="eastAsia" w:ascii="黑体" w:hAnsi="宋体" w:eastAsia="黑体" w:cs="仿宋_GB2312"/>
          <w:kern w:val="0"/>
          <w:sz w:val="32"/>
          <w:szCs w:val="32"/>
        </w:rPr>
      </w:pPr>
      <w:r>
        <w:rPr>
          <w:rFonts w:hint="eastAsia" w:ascii="仿宋" w:hAnsi="仿宋" w:eastAsia="仿宋" w:cs="仿宋"/>
          <w:b w:val="0"/>
          <w:bCs w:val="0"/>
          <w:color w:val="000000"/>
          <w:sz w:val="32"/>
          <w:szCs w:val="32"/>
          <w:lang w:val="en-US" w:eastAsia="zh-CN"/>
        </w:rPr>
        <w:t>项目支出绩效运行绩效结论、存在的问题两方面。涉及部门年度工作与部门职能、规划的相关程度判断,项目支出绩效运行监控制度保障的完善程度,部门内部控制机制的健全程度,项目支出绩效运行监控资源配置水平和能力等。</w:t>
      </w:r>
    </w:p>
    <w:p>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黑体" w:hAnsi="宋体" w:eastAsia="黑体" w:cs="仿宋_GB2312"/>
          <w:kern w:val="0"/>
          <w:sz w:val="32"/>
          <w:szCs w:val="32"/>
        </w:rPr>
        <w:t>六、有关建议</w:t>
      </w:r>
    </w:p>
    <w:p>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项目管理制度是项目整体实施、执行的重要依据，也是项目监控、纠偏的主要标准；因此，应根据项目工作内容，结合项目实际情况以及上级部门印发的相关文件，健全项目管理制度与资金管理办法，有效规范项目实施与资金使用，为项目执行提供充分、全面的依据，加大对项目整体实施的监督力度。</w:t>
      </w:r>
    </w:p>
    <w:p>
      <w:pPr>
        <w:autoSpaceDE w:val="0"/>
        <w:autoSpaceDN w:val="0"/>
        <w:adjustRightInd w:val="0"/>
        <w:spacing w:line="560" w:lineRule="exact"/>
        <w:ind w:firstLine="640" w:firstLineChars="200"/>
        <w:jc w:val="left"/>
        <w:rPr>
          <w:rFonts w:ascii="黑体" w:hAnsi="宋体" w:eastAsia="黑体" w:cs="仿宋_GB2312"/>
          <w:kern w:val="0"/>
          <w:sz w:val="32"/>
          <w:szCs w:val="32"/>
        </w:rPr>
      </w:pPr>
      <w:r>
        <w:rPr>
          <w:rFonts w:hint="eastAsia" w:ascii="黑体" w:hAnsi="宋体" w:eastAsia="黑体" w:cs="仿宋_GB2312"/>
          <w:kern w:val="0"/>
          <w:sz w:val="32"/>
          <w:szCs w:val="32"/>
        </w:rPr>
        <w:t>七、其他需要说明的问题</w:t>
      </w:r>
    </w:p>
    <w:p>
      <w:pPr>
        <w:pStyle w:val="2"/>
        <w:ind w:firstLine="1280" w:firstLineChars="400"/>
        <w:rPr>
          <w:rFonts w:hint="eastAsia" w:ascii="黑体" w:hAnsi="宋体" w:eastAsia="黑体" w:cs="仿宋_GB2312"/>
          <w:b w:val="0"/>
          <w:bCs w:val="0"/>
          <w:kern w:val="0"/>
          <w:sz w:val="32"/>
          <w:szCs w:val="32"/>
          <w:lang w:val="en-US" w:eastAsia="zh-CN"/>
        </w:rPr>
      </w:pPr>
      <w:r>
        <w:rPr>
          <w:rFonts w:hint="eastAsia" w:ascii="仿宋" w:hAnsi="仿宋" w:eastAsia="仿宋" w:cs="仿宋"/>
          <w:b w:val="0"/>
          <w:bCs w:val="0"/>
          <w:color w:val="000000"/>
          <w:kern w:val="2"/>
          <w:sz w:val="32"/>
          <w:szCs w:val="32"/>
          <w:lang w:val="en-US" w:eastAsia="zh-CN" w:bidi="ar-SA"/>
        </w:rPr>
        <w:t>无</w:t>
      </w:r>
    </w:p>
    <w:p>
      <w:pPr>
        <w:pStyle w:val="2"/>
        <w:numPr>
          <w:ilvl w:val="0"/>
          <w:numId w:val="3"/>
        </w:numPr>
        <w:ind w:firstLine="640" w:firstLineChars="200"/>
        <w:rPr>
          <w:rFonts w:hint="eastAsia" w:ascii="黑体" w:hAnsi="宋体" w:eastAsia="黑体" w:cs="仿宋_GB2312"/>
          <w:kern w:val="0"/>
          <w:sz w:val="32"/>
          <w:szCs w:val="32"/>
        </w:rPr>
      </w:pPr>
      <w:r>
        <w:rPr>
          <w:rFonts w:hint="eastAsia" w:ascii="黑体" w:hAnsi="宋体" w:eastAsia="黑体" w:cs="仿宋_GB2312"/>
          <w:kern w:val="0"/>
          <w:sz w:val="32"/>
          <w:szCs w:val="32"/>
        </w:rPr>
        <w:t>项目支出绩效评价指标评分表</w:t>
      </w:r>
    </w:p>
    <w:p>
      <w:pPr>
        <w:spacing w:line="560" w:lineRule="exact"/>
        <w:ind w:firstLine="1302" w:firstLineChars="407"/>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见附件2-2</w:t>
      </w:r>
    </w:p>
    <w:p>
      <w:pPr>
        <w:numPr>
          <w:ilvl w:val="0"/>
          <w:numId w:val="0"/>
        </w:numPr>
      </w:pPr>
    </w:p>
    <w:sectPr>
      <w:footerReference r:id="rId3" w:type="default"/>
      <w:pgSz w:w="11850" w:h="16783"/>
      <w:pgMar w:top="2098" w:right="1474" w:bottom="1984" w:left="1588" w:header="851" w:footer="992" w:gutter="0"/>
      <w:cols w:space="720" w:num="1"/>
      <w:docGrid w:type="lines" w:linePitch="57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E12CB9"/>
    <w:multiLevelType w:val="singleLevel"/>
    <w:tmpl w:val="47E12CB9"/>
    <w:lvl w:ilvl="0" w:tentative="0">
      <w:start w:val="8"/>
      <w:numFmt w:val="chineseCounting"/>
      <w:suff w:val="nothing"/>
      <w:lvlText w:val="%1、"/>
      <w:lvlJc w:val="left"/>
      <w:rPr>
        <w:rFonts w:hint="eastAsia"/>
      </w:rPr>
    </w:lvl>
  </w:abstractNum>
  <w:abstractNum w:abstractNumId="1">
    <w:nsid w:val="48E7C8E3"/>
    <w:multiLevelType w:val="singleLevel"/>
    <w:tmpl w:val="48E7C8E3"/>
    <w:lvl w:ilvl="0" w:tentative="0">
      <w:start w:val="2"/>
      <w:numFmt w:val="chineseCounting"/>
      <w:suff w:val="nothing"/>
      <w:lvlText w:val="（%1）"/>
      <w:lvlJc w:val="left"/>
      <w:rPr>
        <w:rFonts w:hint="eastAsia"/>
      </w:rPr>
    </w:lvl>
  </w:abstractNum>
  <w:abstractNum w:abstractNumId="2">
    <w:nsid w:val="4B93B381"/>
    <w:multiLevelType w:val="singleLevel"/>
    <w:tmpl w:val="4B93B381"/>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28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784"/>
    <w:rsid w:val="000B33C0"/>
    <w:rsid w:val="000B691E"/>
    <w:rsid w:val="000C0B44"/>
    <w:rsid w:val="00126ED9"/>
    <w:rsid w:val="001D310A"/>
    <w:rsid w:val="00375D46"/>
    <w:rsid w:val="00396310"/>
    <w:rsid w:val="003B65A3"/>
    <w:rsid w:val="003C6065"/>
    <w:rsid w:val="00490208"/>
    <w:rsid w:val="0052795B"/>
    <w:rsid w:val="00662EAD"/>
    <w:rsid w:val="008829DE"/>
    <w:rsid w:val="0092664C"/>
    <w:rsid w:val="00A43E30"/>
    <w:rsid w:val="00A4501F"/>
    <w:rsid w:val="00AC5AEF"/>
    <w:rsid w:val="00B3247A"/>
    <w:rsid w:val="00C76EDD"/>
    <w:rsid w:val="00C8174E"/>
    <w:rsid w:val="00D237F2"/>
    <w:rsid w:val="00DC32BF"/>
    <w:rsid w:val="00DD564C"/>
    <w:rsid w:val="00DF1DA4"/>
    <w:rsid w:val="00E30C6E"/>
    <w:rsid w:val="00EC1784"/>
    <w:rsid w:val="00F31D47"/>
    <w:rsid w:val="04A85CF4"/>
    <w:rsid w:val="094B176B"/>
    <w:rsid w:val="0ABB440A"/>
    <w:rsid w:val="0DB34406"/>
    <w:rsid w:val="16676973"/>
    <w:rsid w:val="2FD652C1"/>
    <w:rsid w:val="33D353CB"/>
    <w:rsid w:val="351B7A49"/>
    <w:rsid w:val="42E52923"/>
    <w:rsid w:val="4B8967B2"/>
    <w:rsid w:val="5EB167DE"/>
    <w:rsid w:val="68172955"/>
    <w:rsid w:val="77350E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szCs w:val="21"/>
    </w:rPr>
  </w:style>
  <w:style w:type="paragraph" w:styleId="3">
    <w:name w:val="footer"/>
    <w:basedOn w:val="1"/>
    <w:link w:val="10"/>
    <w:qFormat/>
    <w:uiPriority w:val="0"/>
    <w:pPr>
      <w:tabs>
        <w:tab w:val="center" w:pos="4153"/>
        <w:tab w:val="right" w:pos="8306"/>
      </w:tabs>
      <w:snapToGrid w:val="0"/>
      <w:jc w:val="left"/>
    </w:pPr>
    <w:rPr>
      <w:sz w:val="18"/>
    </w:rPr>
  </w:style>
  <w:style w:type="paragraph" w:styleId="4">
    <w:name w:val="header"/>
    <w:basedOn w:val="1"/>
    <w:link w:val="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customStyle="1" w:styleId="9">
    <w:name w:val="页眉 Char"/>
    <w:basedOn w:val="7"/>
    <w:link w:val="4"/>
    <w:qFormat/>
    <w:uiPriority w:val="0"/>
    <w:rPr>
      <w:rFonts w:hint="default" w:ascii="Calibri" w:hAnsi="Calibri" w:cs="Calibri"/>
      <w:kern w:val="2"/>
      <w:sz w:val="18"/>
      <w:szCs w:val="18"/>
    </w:rPr>
  </w:style>
  <w:style w:type="character" w:customStyle="1" w:styleId="10">
    <w:name w:val="页脚 Char"/>
    <w:basedOn w:val="7"/>
    <w:link w:val="3"/>
    <w:qFormat/>
    <w:uiPriority w:val="0"/>
    <w:rPr>
      <w:rFonts w:hint="default" w:ascii="Calibri" w:hAnsi="Calibri" w:cs="Calibri"/>
      <w:kern w:val="2"/>
      <w:sz w:val="18"/>
      <w:szCs w:val="18"/>
    </w:rPr>
  </w:style>
  <w:style w:type="paragraph" w:customStyle="1" w:styleId="11">
    <w:name w:val="msolistparagraph"/>
    <w:basedOn w:val="1"/>
    <w:qFormat/>
    <w:uiPriority w:val="0"/>
    <w:pPr>
      <w:ind w:firstLine="420" w:firstLineChars="200"/>
    </w:pPr>
    <w:rPr>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Pages>
  <Words>3447</Words>
  <Characters>3685</Characters>
  <Lines>2</Lines>
  <Paragraphs>1</Paragraphs>
  <TotalTime>5</TotalTime>
  <ScaleCrop>false</ScaleCrop>
  <LinksUpToDate>false</LinksUpToDate>
  <CharactersWithSpaces>3696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2025-01-13T06:52:00Z</dcterms:created>
  <dc:creator>Administrator</dc:creator>
  <cp:lastModifiedBy>pc</cp:lastModifiedBy>
  <dcterms:modified xsi:type="dcterms:W3CDTF">2026-03-05T14:07:10Z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TemplateDocerSaveRecord">
    <vt:lpwstr>eyJoZGlkIjoiYWVkNmU5ZWY4NjhhYzk1NTI2NTI3NzY4MDBhMGE1MzkiLCJ1c2VySWQiOiIzNjE5MTc5ODMifQ==</vt:lpwstr>
  </property>
  <property fmtid="{D5CDD505-2E9C-101B-9397-08002B2CF9AE}" pid="4" name="ICV">
    <vt:lpwstr>001937239FE9400582E356CD76431FD6_13</vt:lpwstr>
  </property>
</Properties>
</file>