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1C209">
      <w:pPr>
        <w:autoSpaceDE w:val="0"/>
        <w:autoSpaceDN w:val="0"/>
        <w:adjustRightInd w:val="0"/>
        <w:spacing w:line="560" w:lineRule="exact"/>
        <w:jc w:val="left"/>
        <w:rPr>
          <w:rFonts w:ascii="黑体" w:hAnsi="Times New Roman" w:eastAsia="黑体" w:cs="黑体"/>
          <w:kern w:val="0"/>
          <w:szCs w:val="32"/>
        </w:rPr>
      </w:pPr>
      <w:r>
        <w:rPr>
          <w:rFonts w:hint="eastAsia" w:ascii="黑体" w:hAnsi="Times New Roman" w:eastAsia="黑体" w:cs="黑体"/>
          <w:kern w:val="0"/>
          <w:sz w:val="32"/>
          <w:szCs w:val="32"/>
        </w:rPr>
        <w:t>附件1：</w:t>
      </w:r>
    </w:p>
    <w:p w14:paraId="34A40999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部门整体支出绩效自评报告</w:t>
      </w:r>
    </w:p>
    <w:p w14:paraId="10D608CB">
      <w:pPr>
        <w:autoSpaceDE w:val="0"/>
        <w:autoSpaceDN w:val="0"/>
        <w:adjustRightInd w:val="0"/>
        <w:spacing w:line="560" w:lineRule="exact"/>
        <w:jc w:val="center"/>
        <w:rPr>
          <w:rFonts w:ascii="楷体_GB2312" w:eastAsia="楷体_GB2312" w:cs="楷体_GB2312"/>
          <w:kern w:val="0"/>
          <w:szCs w:val="32"/>
        </w:rPr>
      </w:pPr>
      <w:r>
        <w:rPr>
          <w:rFonts w:hint="eastAsia" w:ascii="楷体_GB2312" w:hAnsi="Times New Roman" w:eastAsia="楷体_GB2312" w:cs="楷体_GB2312"/>
          <w:kern w:val="0"/>
          <w:sz w:val="32"/>
          <w:szCs w:val="32"/>
        </w:rPr>
        <w:t xml:space="preserve">（ </w:t>
      </w:r>
      <w:r>
        <w:rPr>
          <w:rFonts w:hint="eastAsia" w:ascii="楷体_GB2312" w:hAnsi="Times New Roman" w:eastAsia="楷体_GB2312" w:cs="楷体_GB2312"/>
          <w:kern w:val="0"/>
          <w:sz w:val="32"/>
          <w:szCs w:val="32"/>
          <w:lang w:val="en-US" w:eastAsia="zh-CN"/>
        </w:rPr>
        <w:t>2025</w:t>
      </w:r>
      <w:r>
        <w:rPr>
          <w:rFonts w:hint="eastAsia" w:ascii="楷体_GB2312" w:hAnsi="Times New Roman" w:eastAsia="楷体_GB2312" w:cs="楷体_GB2312"/>
          <w:kern w:val="0"/>
          <w:sz w:val="32"/>
          <w:szCs w:val="32"/>
        </w:rPr>
        <w:t xml:space="preserve"> 年度）</w:t>
      </w:r>
    </w:p>
    <w:p w14:paraId="6CFFE247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黑体" w:hAnsi="Times New Roman" w:eastAsia="黑体" w:cs="黑体"/>
          <w:kern w:val="0"/>
          <w:szCs w:val="32"/>
        </w:rPr>
      </w:pPr>
      <w:r>
        <w:rPr>
          <w:rFonts w:hint="eastAsia" w:ascii="黑体" w:hAnsi="Times New Roman" w:eastAsia="黑体" w:cs="黑体"/>
          <w:kern w:val="0"/>
          <w:sz w:val="32"/>
          <w:szCs w:val="32"/>
        </w:rPr>
        <w:t>一、部门概况</w:t>
      </w:r>
    </w:p>
    <w:p w14:paraId="0F62AA26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hint="eastAsia"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（一）部门主要职责职能，组织架构、人员及资产等基本情况。</w:t>
      </w:r>
    </w:p>
    <w:p w14:paraId="59B378C6">
      <w:pPr>
        <w:spacing w:line="560" w:lineRule="exact"/>
        <w:ind w:firstLine="660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组织领导和监督检查各乡镇（街道办、管理处）、县直各部门的统计工作；组织宣传、贯彻统计法律法规；查处统计违法案件；监督检查统计法律法规的实施。</w:t>
      </w:r>
    </w:p>
    <w:p w14:paraId="073D670B">
      <w:pPr>
        <w:spacing w:line="560" w:lineRule="exact"/>
        <w:ind w:firstLine="660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建立健全全县国民经济核算体系、统计指标体系、统计调查体系；贯彻执行国家、省、市统计标准，补充制定地方统计标准。</w:t>
      </w:r>
    </w:p>
    <w:p w14:paraId="24295347">
      <w:pPr>
        <w:spacing w:line="560" w:lineRule="exact"/>
        <w:ind w:firstLine="660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按照国家、省、市的统一部署和县委、县政府的要求，组织全县重大国情国力普查。组织完成国务院统一布置的农业、人口、经济普查和基本单位普查；投入产出调查、1%人口抽样调查等专项调查。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 xml:space="preserve">      </w:t>
      </w:r>
    </w:p>
    <w:p w14:paraId="62AC01ED">
      <w:pPr>
        <w:spacing w:line="560" w:lineRule="exact"/>
        <w:ind w:firstLine="660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收集、汇总、整理、提供基本统计资料；对国民经济、社会发展和科技进步情况进行统计分析、统计预测和统计监督，向县委、县政府及有关部门提供统计信息和建议。</w:t>
      </w:r>
    </w:p>
    <w:p w14:paraId="71650191">
      <w:pPr>
        <w:spacing w:line="560" w:lineRule="exact"/>
        <w:ind w:firstLine="660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统一核定、管理、公布全县性统计资料，定期发布全县国民经济和社会发展统计公报、指导、协调统计信息咨询工作。</w:t>
      </w:r>
    </w:p>
    <w:p w14:paraId="4AD68920">
      <w:pPr>
        <w:spacing w:line="560" w:lineRule="exact"/>
        <w:ind w:firstLine="660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组织管理全县统计干部业务培训和统计人员培训工作。</w:t>
      </w:r>
    </w:p>
    <w:p w14:paraId="7B48E4A9">
      <w:pPr>
        <w:spacing w:line="560" w:lineRule="exact"/>
        <w:ind w:firstLine="660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承办县人民政府交办的其他事项。</w:t>
      </w:r>
    </w:p>
    <w:p w14:paraId="3A4C823C">
      <w:pPr>
        <w:pStyle w:val="3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县统计局共有预算单位一个，包括局本级和0个所属二级预算单位，其中行政机关1个：即南昌县统计局；参照公务员管理的事业单位0个；全额拨款事业单位0个，差额拨款事业单位0个，自收自支事业单位0个。编制人数小计44人，其中：行政编制14人、参照公务员管理的事业编制0人、全部补助事业编制30人、部分补助事业编制0人、自收自支事业编制0人。实有人数53人，其中：在职人数小计37人，包括行政人员12人、参照公务员管理的事业编制0人、全部补助事业人员25人、部分补助事业人员0人、自收自支事业人员0人；离休人数小计0人；退休人员小计13人。遗属人数3人。</w:t>
      </w:r>
    </w:p>
    <w:p w14:paraId="3F3E8EEA">
      <w:pPr>
        <w:pStyle w:val="3"/>
        <w:rPr>
          <w:rFonts w:hint="eastAsia"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（二）当年部门履职总体目标、工作任务。</w:t>
      </w:r>
    </w:p>
    <w:p w14:paraId="22E09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始终把统计基层基础作为事关统计事业长远发展的大计来抓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坚持多点发力，持续用力，久久为功，切实夯实统计基层基础。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一是扎实推进企业电子统计台账。成立工作专班，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6"/>
          <w:sz w:val="32"/>
          <w:szCs w:val="32"/>
          <w:lang w:val="en-US" w:eastAsia="zh-CN"/>
        </w:rPr>
        <w:t>制定并印发《南昌县企业电子统计台账推广工作方案》，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将“四上”企业统计电子台账工作纳入企业统计补贴发放标准，认真组织培训，做好进度监测，及时督促指导，严格按照时序节点，完成好统计电子台账推广工作。全县正常填报企业的数量1649家，截至目前，累计正常填报企业数1559家，填报率94.54%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二是强化业务培训指导。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牵头组织了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针对乡镇、行业主管部门、企业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统计知识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培训，由各专业负责人授课，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促使乡镇、行业主管部门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</w:rPr>
        <w:t>和企业统计人员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掌握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</w:rPr>
        <w:t>统计政策，熟悉调查方法，理解统计指标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今年以来，牵头组织各乡镇培训4次、参训100余人次，相关县直单位培训2次，参训30余人次，企业培训4次、参训2000余人次，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</w:rPr>
        <w:t>全面提升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统计人员的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</w:rPr>
        <w:t>业务水平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对主要经济指标分析研判能力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kern w:val="0"/>
          <w:sz w:val="32"/>
          <w:szCs w:val="32"/>
          <w:lang w:val="en-US" w:eastAsia="zh-CN"/>
        </w:rPr>
        <w:t>三是稳抓“五上”新增。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按照“先有库、后有数”的原则，做好新增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一套表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单位的管理工作，每月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一通报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，督促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各乡镇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直相关部门重视企业入统项目入库工作，对符合条件的企业、项目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及时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申报入库，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6"/>
          <w:kern w:val="0"/>
          <w:sz w:val="32"/>
          <w:szCs w:val="32"/>
          <w:shd w:val="clear" w:color="auto" w:fill="FFFFFF"/>
          <w:lang w:val="en-US" w:eastAsia="zh-CN"/>
        </w:rPr>
        <w:t>建立“部门牵头、乡镇负责、各尽其职、协调推进”的入库工作方式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截至目前，全县新增一套表单位108户，位列全市第三；一套表单位总数达到1654户，位列全市第二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lang w:val="en-US" w:eastAsia="zh-CN"/>
        </w:rPr>
        <w:t>。</w:t>
      </w:r>
    </w:p>
    <w:p w14:paraId="17BCAE89">
      <w:pPr>
        <w:autoSpaceDE w:val="0"/>
        <w:autoSpaceDN w:val="0"/>
        <w:adjustRightInd w:val="0"/>
        <w:spacing w:line="560" w:lineRule="exact"/>
        <w:ind w:firstLine="643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精心组织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实施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，严格质量控制，高质量完成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各项普查调查。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按照国家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及省市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统计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部门安排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部署，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坚持聚焦重点环节，把握关键时间节点，多措并举高质量推进各项普查调查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做好2025年全国1%人口抽样调查。县、乡两级均按要求成立了组织机构，完成“两员”培训、物资配备、广泛宣传等前期工作。11月15日前已完成全县108个样本村和120个调查小区，共4790户，登记了1.6万人，承办了南昌市人口抽样调查宣传片制作，获得省市高度认可。二是稳步推进第四次全国农业普查。结合“三农普”工作经验，按照省市农普办工作要求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成立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全县“四农普”工作专班，编制了经费预算，及时下发工作通知，落实相关要求，稳步推进全县“四农普”工作。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6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是有序开展日常统计工作。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围绕高质量发展不断优化日常统计工作，践行服务经济决策的政治担当，统全统准各项经济指标。</w:t>
      </w:r>
    </w:p>
    <w:p w14:paraId="360B6126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eastAsia="仿宋_GB2312" w:cs="仿宋_GB2312"/>
          <w:kern w:val="0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（三）当年部门年度整体支出绩效目标。</w:t>
      </w:r>
    </w:p>
    <w:p w14:paraId="3A444A3F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严格资金监督管理。我局不断加强财政管理专项治理，加大财政资金使用监管力度，切实保障落实财政政策和发挥资金效益，保证财政整体支出评价指标框架、绩效目标、绩效评价等方面标准对项目资金的管理、概况、效益指标等事项实现整体化。</w:t>
      </w:r>
    </w:p>
    <w:p w14:paraId="5275C265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eastAsia="仿宋_GB2312" w:cs="仿宋_GB2312"/>
          <w:kern w:val="0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（四）部门预算绩效管理开展情况。</w:t>
      </w:r>
    </w:p>
    <w:p w14:paraId="0368D082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我局严格按照《南昌县财政局关于展开202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年度部门整体支出绩效评价工作的通知南财绩【202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】1号文件要求，高度重视，认真组织开展部门整体支出评</w:t>
      </w: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价。</w:t>
      </w:r>
    </w:p>
    <w:p w14:paraId="64CF773C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eastAsia="仿宋_GB2312" w:cs="仿宋_GB2312"/>
          <w:kern w:val="0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（五）当年部门预算及执行情况。</w:t>
      </w:r>
    </w:p>
    <w:p w14:paraId="6E132D63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2025年南昌县统计局单位收入预算总额为1417.61万元，比上年减少781.06万元，下降35.5%，其中：财政拨款收入1267.61万元，其他收入150万元，。</w:t>
      </w:r>
    </w:p>
    <w:p w14:paraId="7A438580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黑体" w:hAnsi="Times New Roman" w:eastAsia="黑体" w:cs="黑体"/>
          <w:kern w:val="0"/>
          <w:szCs w:val="32"/>
        </w:rPr>
      </w:pPr>
      <w:r>
        <w:rPr>
          <w:rFonts w:hint="eastAsia" w:ascii="黑体" w:hAnsi="Times New Roman" w:eastAsia="黑体" w:cs="黑体"/>
          <w:kern w:val="0"/>
          <w:sz w:val="32"/>
          <w:szCs w:val="32"/>
        </w:rPr>
        <w:t>二、部门整体支出绩效实现情况</w:t>
      </w:r>
    </w:p>
    <w:p w14:paraId="111529AC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eastAsia="仿宋_GB2312" w:cs="仿宋_GB2312"/>
          <w:kern w:val="0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（一）履职完成情况：从数量、质量、时效等方面归纳反映年度主要计划任务完成情况。</w:t>
      </w:r>
    </w:p>
    <w:p w14:paraId="21254B00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数量指标：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402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名兼职统计人员，21个乡镇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街道办、管委会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）</w:t>
      </w:r>
    </w:p>
    <w:p w14:paraId="14700E37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质量指标：保证统计数据质量得到提升，组织专业统计人员每年培训。</w:t>
      </w:r>
    </w:p>
    <w:p w14:paraId="1FAA1CE8">
      <w:pPr>
        <w:spacing w:line="560" w:lineRule="exact"/>
        <w:ind w:firstLine="645"/>
        <w:rPr>
          <w:rFonts w:hint="eastAsia"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时效指标：各项经费及时足额拨付。</w:t>
      </w:r>
    </w:p>
    <w:p w14:paraId="6E6E6CED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eastAsia="仿宋_GB2312" w:cs="仿宋_GB2312"/>
          <w:kern w:val="0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（二）履职效果情况：从社会效益、经济效益（如有）、生态效益（如有）等方面反映部门履职效果的实现情况。</w:t>
      </w:r>
    </w:p>
    <w:p w14:paraId="1219F40B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社会效益：促进全县经济发展、社会和谐稳定及时反映社会发展的新问题，新情况，为政府及有关部门制定决策，作出重大部署提供数据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支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 xml:space="preserve">持。 </w:t>
      </w:r>
    </w:p>
    <w:p w14:paraId="6CBCEAD5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经济效益指标：统计人员工作经费及时发放到位，各项工作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有序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开展，为我县的经济发展提供了稳定的基础。</w:t>
      </w:r>
    </w:p>
    <w:p w14:paraId="7D210921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hint="eastAsia"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生态效益：对环境无影响，符合环保要求。</w:t>
      </w:r>
    </w:p>
    <w:p w14:paraId="3CE8167F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eastAsia="仿宋_GB2312" w:cs="仿宋_GB2312"/>
          <w:kern w:val="0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（三）社会满意度及可持续性影响（如有）。</w:t>
      </w:r>
    </w:p>
    <w:p w14:paraId="22A1B9F0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满意度指标：服务对象和统计工作者满意度为9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%，</w:t>
      </w:r>
    </w:p>
    <w:p w14:paraId="69245781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hint="eastAsia" w:ascii="黑体" w:hAnsi="Times New Roman" w:eastAsia="黑体" w:cs="黑体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可持续性影响：不断提升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群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众满意度，推动统计工作发展战略；增强统计工作的服务力和创新力。</w:t>
      </w:r>
    </w:p>
    <w:p w14:paraId="17AAA860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黑体" w:hAnsi="Times New Roman" w:eastAsia="黑体" w:cs="黑体"/>
          <w:kern w:val="0"/>
          <w:szCs w:val="32"/>
        </w:rPr>
      </w:pPr>
      <w:r>
        <w:rPr>
          <w:rFonts w:hint="eastAsia" w:ascii="黑体" w:hAnsi="Times New Roman" w:eastAsia="黑体" w:cs="黑体"/>
          <w:kern w:val="0"/>
          <w:sz w:val="32"/>
          <w:szCs w:val="32"/>
        </w:rPr>
        <w:t>三、部门整体支出绩效中存在问题及改进措施</w:t>
      </w:r>
    </w:p>
    <w:p w14:paraId="1335FFEB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_GB2312" w:eastAsia="仿宋_GB2312" w:cs="仿宋_GB2312"/>
          <w:kern w:val="0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（一）主要问题及原因分析。</w:t>
      </w:r>
    </w:p>
    <w:p w14:paraId="32D6F82F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hint="eastAsia"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整体支出绩效运行监控绩效结论、存在问题两方面。绩效指标设定模糊，量化不足，难以衡量实际效果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绩效目标调整机制不灵活，难以应对突发情况或政策变化。整体支出绩效运行监控制度保障的完善程度，部门内部控制机制的健全程度，整体支出绩效运行监控资源配置水平和能力等。</w:t>
      </w:r>
    </w:p>
    <w:p w14:paraId="421A6008">
      <w:pPr>
        <w:numPr>
          <w:ilvl w:val="0"/>
          <w:numId w:val="1"/>
        </w:num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hint="eastAsia" w:ascii="仿宋_GB2312" w:hAnsi="Times New Roman" w:eastAsia="仿宋_GB2312" w:cs="仿宋_GB2312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0"/>
          <w:sz w:val="32"/>
          <w:szCs w:val="32"/>
        </w:rPr>
        <w:t>改进的方向和具体措施。</w:t>
      </w:r>
    </w:p>
    <w:p w14:paraId="24837294">
      <w:pPr>
        <w:numPr>
          <w:ilvl w:val="0"/>
          <w:numId w:val="0"/>
        </w:num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 xml:space="preserve">. 建立全过程动态监控机制  </w:t>
      </w:r>
    </w:p>
    <w:p w14:paraId="0E0801EA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实时跟踪资金流向和项目进展。设立绩效目标动态调整程序，允许在政策变化或突发事件中优化资源配置。</w:t>
      </w:r>
    </w:p>
    <w:p w14:paraId="4CF5A6E6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 xml:space="preserve">. 完善绩效评价体系  </w:t>
      </w:r>
    </w:p>
    <w:p w14:paraId="113DBF47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 xml:space="preserve">财务、服务对象、内部流程、学习成长四个维度综合评估。  </w:t>
      </w:r>
    </w:p>
    <w:p w14:paraId="2593F747">
      <w:pPr>
        <w:spacing w:line="560" w:lineRule="exact"/>
        <w:rPr>
          <w:rFonts w:hint="eastAsia" w:ascii="黑体" w:hAnsi="Times New Roman" w:eastAsia="黑体" w:cs="黑体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扩大第三方机构参与，采用成本效益分析、社会投资回报率等方法提升评价专业性。加强能力建设与培训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定期开展绩效管理专题培训，提升工作人员对政策工具的应用能力。鼓励部门设立专职绩效管理岗位，明确职责分工。实现点到位、精到位，努力完成整体支出等重要工作。</w:t>
      </w:r>
    </w:p>
    <w:p w14:paraId="2FD54C52">
      <w:pPr>
        <w:spacing w:line="560" w:lineRule="exact"/>
        <w:ind w:firstLine="640" w:firstLineChars="200"/>
        <w:rPr>
          <w:rFonts w:ascii="黑体" w:hAnsi="Times New Roman" w:eastAsia="黑体" w:cs="黑体"/>
          <w:kern w:val="0"/>
          <w:szCs w:val="32"/>
        </w:rPr>
      </w:pPr>
      <w:r>
        <w:rPr>
          <w:rFonts w:hint="eastAsia" w:ascii="黑体" w:hAnsi="Times New Roman" w:eastAsia="黑体" w:cs="黑体"/>
          <w:kern w:val="0"/>
          <w:sz w:val="32"/>
          <w:szCs w:val="32"/>
        </w:rPr>
        <w:t>四、绩效自评结果拟应用和公开情况</w:t>
      </w:r>
    </w:p>
    <w:p w14:paraId="079C07F3">
      <w:pPr>
        <w:spacing w:line="560" w:lineRule="exact"/>
        <w:ind w:firstLine="645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自评结果为优，南昌县人民政府网站上按照时效性公开。</w:t>
      </w:r>
    </w:p>
    <w:p w14:paraId="11E20D9C"/>
    <w:sectPr>
      <w:footerReference r:id="rId3" w:type="default"/>
      <w:pgSz w:w="11850" w:h="16783"/>
      <w:pgMar w:top="2098" w:right="1474" w:bottom="1984" w:left="1588" w:header="851" w:footer="992" w:gutter="0"/>
      <w:cols w:space="720" w:num="1"/>
      <w:docGrid w:type="lines" w:linePitch="57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35133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0A280F"/>
    <w:multiLevelType w:val="singleLevel"/>
    <w:tmpl w:val="470A280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28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784"/>
    <w:rsid w:val="000B33C0"/>
    <w:rsid w:val="000B691E"/>
    <w:rsid w:val="000C0B44"/>
    <w:rsid w:val="00126ED9"/>
    <w:rsid w:val="001D310A"/>
    <w:rsid w:val="00375D46"/>
    <w:rsid w:val="00396310"/>
    <w:rsid w:val="003B65A3"/>
    <w:rsid w:val="0052795B"/>
    <w:rsid w:val="00662EAD"/>
    <w:rsid w:val="007359BB"/>
    <w:rsid w:val="0092664C"/>
    <w:rsid w:val="00AC5AEF"/>
    <w:rsid w:val="00B3247A"/>
    <w:rsid w:val="00C76EDD"/>
    <w:rsid w:val="00C8174E"/>
    <w:rsid w:val="00D237F2"/>
    <w:rsid w:val="00DC32BF"/>
    <w:rsid w:val="00DD564C"/>
    <w:rsid w:val="00DF1DA4"/>
    <w:rsid w:val="00E30C6E"/>
    <w:rsid w:val="00EC1784"/>
    <w:rsid w:val="00EE1EE3"/>
    <w:rsid w:val="00F145E9"/>
    <w:rsid w:val="00F31D47"/>
    <w:rsid w:val="00F656EE"/>
    <w:rsid w:val="0ABB440A"/>
    <w:rsid w:val="0DB34406"/>
    <w:rsid w:val="404D465E"/>
    <w:rsid w:val="44AB5A4D"/>
    <w:rsid w:val="464546ED"/>
    <w:rsid w:val="48A54203"/>
    <w:rsid w:val="4D4B6EE3"/>
    <w:rsid w:val="52FE06A5"/>
    <w:rsid w:val="554139E0"/>
    <w:rsid w:val="5BA64BE9"/>
    <w:rsid w:val="67DA3573"/>
    <w:rsid w:val="6E597819"/>
    <w:rsid w:val="7F9DCF59"/>
    <w:rsid w:val="FFD7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00" w:lineRule="exact"/>
      <w:ind w:firstLine="420"/>
    </w:pPr>
    <w:rPr>
      <w:rFonts w:eastAsia="楷体_GB2312"/>
      <w:sz w:val="28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szCs w:val="21"/>
    </w:rPr>
  </w:style>
  <w:style w:type="paragraph" w:customStyle="1" w:styleId="4">
    <w:name w:val="Quote"/>
    <w:basedOn w:val="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eastAsia="微软雅黑"/>
      <w:i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basedOn w:val="9"/>
    <w:link w:val="6"/>
    <w:qFormat/>
    <w:uiPriority w:val="0"/>
    <w:rPr>
      <w:rFonts w:hint="default" w:ascii="Calibri" w:hAnsi="Calibri" w:cs="Calibri"/>
      <w:kern w:val="2"/>
      <w:sz w:val="18"/>
      <w:szCs w:val="18"/>
    </w:rPr>
  </w:style>
  <w:style w:type="character" w:customStyle="1" w:styleId="12">
    <w:name w:val="页脚 Char"/>
    <w:basedOn w:val="9"/>
    <w:link w:val="5"/>
    <w:qFormat/>
    <w:uiPriority w:val="0"/>
    <w:rPr>
      <w:rFonts w:hint="default" w:ascii="Calibri" w:hAnsi="Calibri" w:cs="Calibri"/>
      <w:kern w:val="2"/>
      <w:sz w:val="18"/>
      <w:szCs w:val="18"/>
    </w:rPr>
  </w:style>
  <w:style w:type="paragraph" w:customStyle="1" w:styleId="13">
    <w:name w:val="msolistparagraph"/>
    <w:basedOn w:val="1"/>
    <w:qFormat/>
    <w:uiPriority w:val="0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2715</Words>
  <Characters>2812</Characters>
  <Lines>2</Lines>
  <Paragraphs>1</Paragraphs>
  <TotalTime>5</TotalTime>
  <ScaleCrop>false</ScaleCrop>
  <LinksUpToDate>false</LinksUpToDate>
  <CharactersWithSpaces>2829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2025-01-13T22:52:00Z</dcterms:created>
  <dc:creator>Administrator</dc:creator>
  <cp:lastModifiedBy>凯凯</cp:lastModifiedBy>
  <dcterms:modified xsi:type="dcterms:W3CDTF">2026-04-30T14:56:37Z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eyJoZGlkIjoiYWVkNmU5ZWY4NjhhYzk1NTI2NTI3NzY4MDBhMGE1MzkiLCJ1c2VySWQiOiIzNjE5MTc5ODMifQ==</vt:lpwstr>
  </property>
  <property fmtid="{D5CDD505-2E9C-101B-9397-08002B2CF9AE}" pid="4" name="ICV">
    <vt:lpwstr>CAF449C5A3924A2E8D19DD51B0934AF2_13</vt:lpwstr>
  </property>
</Properties>
</file>