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71AEB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南昌</w:t>
      </w:r>
      <w:r>
        <w:rPr>
          <w:rFonts w:hint="eastAsia"/>
          <w:b/>
          <w:bCs/>
          <w:sz w:val="44"/>
          <w:szCs w:val="44"/>
          <w:lang w:val="en-US" w:eastAsia="zh-CN"/>
        </w:rPr>
        <w:t>县（小蓝经开区）</w:t>
      </w:r>
      <w:r>
        <w:rPr>
          <w:rFonts w:hint="eastAsia"/>
          <w:b/>
          <w:bCs/>
          <w:sz w:val="44"/>
          <w:szCs w:val="44"/>
        </w:rPr>
        <w:t>促进</w:t>
      </w:r>
      <w:r>
        <w:rPr>
          <w:rFonts w:hint="eastAsia"/>
          <w:b/>
          <w:bCs/>
          <w:sz w:val="44"/>
          <w:szCs w:val="44"/>
          <w:lang w:val="en-US" w:eastAsia="zh-CN"/>
        </w:rPr>
        <w:t>商贸</w:t>
      </w:r>
      <w:r>
        <w:rPr>
          <w:rFonts w:hint="eastAsia"/>
          <w:b/>
          <w:bCs/>
          <w:sz w:val="44"/>
          <w:szCs w:val="44"/>
        </w:rPr>
        <w:t>经济</w:t>
      </w:r>
      <w:r>
        <w:rPr>
          <w:rFonts w:hint="eastAsia"/>
          <w:b/>
          <w:bCs/>
          <w:sz w:val="44"/>
          <w:szCs w:val="44"/>
          <w:lang w:val="en-US" w:eastAsia="zh-CN"/>
        </w:rPr>
        <w:t>提质增量</w:t>
      </w:r>
      <w:r>
        <w:rPr>
          <w:rFonts w:hint="eastAsia"/>
          <w:b/>
          <w:bCs/>
          <w:sz w:val="44"/>
          <w:szCs w:val="44"/>
        </w:rPr>
        <w:t>的若干政策措施</w:t>
      </w:r>
      <w:r>
        <w:rPr>
          <w:rFonts w:hint="eastAsia"/>
          <w:b/>
          <w:bCs/>
          <w:sz w:val="44"/>
          <w:szCs w:val="44"/>
          <w:lang w:eastAsia="zh-CN"/>
        </w:rPr>
        <w:t>（</w:t>
      </w:r>
      <w:r>
        <w:rPr>
          <w:rFonts w:hint="eastAsia"/>
          <w:b/>
          <w:bCs/>
          <w:sz w:val="44"/>
          <w:szCs w:val="44"/>
          <w:lang w:val="en-US" w:eastAsia="zh-CN"/>
        </w:rPr>
        <w:t>试行）</w:t>
      </w:r>
      <w:r>
        <w:rPr>
          <w:rFonts w:hint="eastAsia"/>
          <w:b/>
          <w:bCs/>
          <w:sz w:val="44"/>
          <w:szCs w:val="44"/>
        </w:rPr>
        <w:t>（</w:t>
      </w:r>
      <w:r>
        <w:rPr>
          <w:rFonts w:hint="eastAsia"/>
          <w:b/>
          <w:bCs/>
          <w:sz w:val="44"/>
          <w:szCs w:val="44"/>
          <w:lang w:eastAsia="zh-CN"/>
        </w:rPr>
        <w:t>征求意见稿</w:t>
      </w:r>
      <w:r>
        <w:rPr>
          <w:rFonts w:hint="eastAsia"/>
          <w:b/>
          <w:bCs/>
          <w:sz w:val="44"/>
          <w:szCs w:val="44"/>
        </w:rPr>
        <w:t>）</w:t>
      </w:r>
    </w:p>
    <w:p w14:paraId="5D199E7C">
      <w:pPr>
        <w:ind w:firstLine="640" w:firstLineChars="200"/>
        <w:jc w:val="left"/>
        <w:rPr>
          <w:rFonts w:hint="eastAsia"/>
        </w:rPr>
      </w:pPr>
    </w:p>
    <w:p w14:paraId="25005246"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为深入贯彻落实中央、省委、市委、县委关于大力提振消费的部署要求，促进我县（区）商贸经济提质增量，根据《南昌市促进商贸经济提质增量的若干政策措施（试行）》文件要求，结合我县（区）工作实际，制定本政策措施。</w:t>
      </w:r>
    </w:p>
    <w:p w14:paraId="1A369402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一、引进和培育新增商贸主体</w:t>
      </w:r>
    </w:p>
    <w:p w14:paraId="55C06C62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b/>
          <w:bCs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第一条 鼓励新增商贸企业</w:t>
      </w:r>
    </w:p>
    <w:p w14:paraId="465C703C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（1）直接奖励。</w:t>
      </w:r>
      <w:r>
        <w:rPr>
          <w:rFonts w:hint="default" w:ascii="仿宋" w:hAnsi="仿宋" w:eastAsia="仿宋" w:cs="仿宋"/>
          <w:lang w:val="en-US" w:eastAsia="zh-CN"/>
        </w:rPr>
        <w:t>对新开业并达到一定规模的商贸企业，给予10 万元奖励，次年达到一定增速的，再给予 8 万元奖励。对达到一定规模的既有商贸企业，次年达到一定增速的，给予 10 万元奖励。</w:t>
      </w:r>
    </w:p>
    <w:p w14:paraId="56F7ECD7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（2）信贷支持奖励。</w:t>
      </w:r>
      <w:r>
        <w:rPr>
          <w:rFonts w:hint="default" w:ascii="仿宋" w:hAnsi="仿宋" w:eastAsia="仿宋" w:cs="仿宋"/>
          <w:lang w:val="en-US" w:eastAsia="zh-CN"/>
        </w:rPr>
        <w:t>对新开业并达到一定规模的商贸企业，依法依规取得银行贷款，按照银行贷款本金贴息2个百分点给予奖励，奖励金额不超过当年支付利息总额，最高不超过20万元。对达到一定规模后，次年达到一定增速的既有商贸企业，依法依规取得银行贷款，按照银行贷款本金贴息2个百分点给予奖励，奖励金额不超过当年支付利息总额，最高不超过12万元。</w:t>
      </w:r>
    </w:p>
    <w:p w14:paraId="078862D2"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lang w:val="en-US" w:eastAsia="zh-CN"/>
        </w:rPr>
        <w:t>新增商贸企业可在直接奖励和信贷支持奖励中任选其一进行申报，不重复享受。</w:t>
      </w:r>
    </w:p>
    <w:p w14:paraId="773D7FCC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第二条 鼓励新设龙头商贸企业。</w:t>
      </w:r>
      <w:r>
        <w:rPr>
          <w:rFonts w:hint="default" w:ascii="仿宋" w:hAnsi="仿宋" w:eastAsia="仿宋" w:cs="仿宋"/>
          <w:lang w:val="en-US" w:eastAsia="zh-CN"/>
        </w:rPr>
        <w:t>对批发业当年经营规模达10亿元以上的，零售业当年零售规模达5000万元以上的，住宿和餐饮业当年经营规模达2000万元以上的新开业商贸企业，给予5</w:t>
      </w:r>
      <w:r>
        <w:rPr>
          <w:rFonts w:hint="eastAsia" w:ascii="仿宋" w:hAnsi="仿宋" w:eastAsia="仿宋" w:cs="仿宋"/>
          <w:lang w:val="en-US" w:eastAsia="zh-CN"/>
        </w:rPr>
        <w:t>0</w:t>
      </w:r>
      <w:r>
        <w:rPr>
          <w:rFonts w:hint="default" w:ascii="仿宋" w:hAnsi="仿宋" w:eastAsia="仿宋" w:cs="仿宋"/>
          <w:lang w:val="en-US" w:eastAsia="zh-CN"/>
        </w:rPr>
        <w:t>万元奖励；对批发业当年经营规模达20亿元以上的，零售业当年零售规模达1亿元以上的，住宿和餐饮业当年经营规模达4000万元以上的新开业商贸企业，给予100万元奖励；对批发业当年经营规模达50亿元以上的，零售业当年零售规模达3亿元以上的，住宿和餐饮业当年经营规模达1亿元以上的新开业商贸企业，给予300万元奖励。</w:t>
      </w:r>
    </w:p>
    <w:p w14:paraId="3EB5029C">
      <w:pPr>
        <w:numPr>
          <w:ilvl w:val="0"/>
          <w:numId w:val="0"/>
        </w:numPr>
        <w:ind w:firstLine="643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第三条 鼓励引育商户入驻</w:t>
      </w:r>
      <w:r>
        <w:rPr>
          <w:rFonts w:hint="default" w:ascii="仿宋" w:hAnsi="仿宋" w:eastAsia="仿宋" w:cs="仿宋"/>
          <w:lang w:val="en-US" w:eastAsia="zh-CN"/>
        </w:rPr>
        <w:t>。对引进和培育场内商贸</w:t>
      </w:r>
      <w:r>
        <w:rPr>
          <w:rFonts w:hint="eastAsia" w:ascii="仿宋" w:hAnsi="仿宋" w:eastAsia="仿宋" w:cs="仿宋"/>
          <w:lang w:val="en-US" w:eastAsia="zh-CN"/>
        </w:rPr>
        <w:t>单位（含个体工商户）</w:t>
      </w:r>
      <w:r>
        <w:rPr>
          <w:rFonts w:hint="default" w:ascii="仿宋" w:hAnsi="仿宋" w:eastAsia="仿宋" w:cs="仿宋"/>
          <w:lang w:val="en-US" w:eastAsia="zh-CN"/>
        </w:rPr>
        <w:t>达到一定规模的租赁型商业综合体、商业街区、商品交易市场、楼宇、电商基地（平台）给予奖励，当年新增</w:t>
      </w:r>
      <w:r>
        <w:rPr>
          <w:rFonts w:hint="eastAsia" w:ascii="仿宋" w:hAnsi="仿宋" w:eastAsia="仿宋" w:cs="仿宋"/>
          <w:lang w:val="en-US" w:eastAsia="zh-CN"/>
        </w:rPr>
        <w:t>10户以上100</w:t>
      </w:r>
      <w:r>
        <w:rPr>
          <w:rFonts w:hint="default" w:ascii="仿宋" w:hAnsi="仿宋" w:eastAsia="仿宋" w:cs="仿宋"/>
          <w:lang w:val="en-US" w:eastAsia="zh-CN"/>
        </w:rPr>
        <w:t>户</w:t>
      </w:r>
      <w:r>
        <w:rPr>
          <w:rFonts w:hint="eastAsia" w:ascii="仿宋" w:hAnsi="仿宋" w:eastAsia="仿宋" w:cs="仿宋"/>
          <w:lang w:val="en-US" w:eastAsia="zh-CN"/>
        </w:rPr>
        <w:t>以下（不包含本数）</w:t>
      </w:r>
      <w:r>
        <w:rPr>
          <w:rFonts w:hint="default" w:ascii="仿宋" w:hAnsi="仿宋" w:eastAsia="仿宋" w:cs="仿宋"/>
          <w:lang w:val="en-US" w:eastAsia="zh-CN"/>
        </w:rPr>
        <w:t>的，</w:t>
      </w:r>
      <w:r>
        <w:rPr>
          <w:rFonts w:hint="eastAsia" w:ascii="仿宋" w:hAnsi="仿宋" w:eastAsia="仿宋" w:cs="仿宋"/>
          <w:lang w:val="en-US" w:eastAsia="zh-CN"/>
        </w:rPr>
        <w:t>按</w:t>
      </w:r>
      <w:r>
        <w:rPr>
          <w:rFonts w:hint="default" w:ascii="仿宋" w:hAnsi="仿宋" w:eastAsia="仿宋" w:cs="仿宋"/>
          <w:lang w:val="en-US" w:eastAsia="zh-CN"/>
        </w:rPr>
        <w:t>每户</w:t>
      </w:r>
      <w:r>
        <w:rPr>
          <w:rFonts w:hint="eastAsia" w:ascii="仿宋" w:hAnsi="仿宋" w:eastAsia="仿宋" w:cs="仿宋"/>
          <w:lang w:val="en-US" w:eastAsia="zh-CN"/>
        </w:rPr>
        <w:t>1</w:t>
      </w:r>
      <w:r>
        <w:rPr>
          <w:rFonts w:hint="default" w:ascii="仿宋" w:hAnsi="仿宋" w:eastAsia="仿宋" w:cs="仿宋"/>
          <w:lang w:val="en-US" w:eastAsia="zh-CN"/>
        </w:rPr>
        <w:t>万元</w:t>
      </w:r>
      <w:r>
        <w:rPr>
          <w:rFonts w:hint="eastAsia" w:ascii="仿宋" w:hAnsi="仿宋" w:eastAsia="仿宋" w:cs="仿宋"/>
          <w:lang w:val="en-US" w:eastAsia="zh-CN"/>
        </w:rPr>
        <w:t>标准</w:t>
      </w:r>
      <w:r>
        <w:rPr>
          <w:rFonts w:hint="default" w:ascii="仿宋" w:hAnsi="仿宋" w:eastAsia="仿宋" w:cs="仿宋"/>
          <w:lang w:val="en-US" w:eastAsia="zh-CN"/>
        </w:rPr>
        <w:t>奖励</w:t>
      </w:r>
      <w:r>
        <w:rPr>
          <w:rFonts w:hint="eastAsia" w:ascii="仿宋" w:hAnsi="仿宋" w:eastAsia="仿宋" w:cs="仿宋"/>
          <w:lang w:val="en-US" w:eastAsia="zh-CN"/>
        </w:rPr>
        <w:t>；</w:t>
      </w:r>
      <w:r>
        <w:rPr>
          <w:rFonts w:hint="default" w:ascii="仿宋" w:hAnsi="仿宋" w:eastAsia="仿宋" w:cs="仿宋"/>
          <w:lang w:val="en-US" w:eastAsia="zh-CN"/>
        </w:rPr>
        <w:t>当年新增</w:t>
      </w:r>
      <w:r>
        <w:rPr>
          <w:rFonts w:hint="eastAsia" w:ascii="仿宋" w:hAnsi="仿宋" w:eastAsia="仿宋" w:cs="仿宋"/>
          <w:lang w:val="en-US" w:eastAsia="zh-CN"/>
        </w:rPr>
        <w:t>1</w:t>
      </w:r>
      <w:r>
        <w:rPr>
          <w:rFonts w:hint="default" w:ascii="仿宋" w:hAnsi="仿宋" w:eastAsia="仿宋" w:cs="仿宋"/>
          <w:lang w:val="en-US" w:eastAsia="zh-CN"/>
        </w:rPr>
        <w:t>00户以上的，</w:t>
      </w:r>
      <w:r>
        <w:rPr>
          <w:rFonts w:hint="eastAsia" w:ascii="仿宋" w:hAnsi="仿宋" w:eastAsia="仿宋" w:cs="仿宋"/>
          <w:lang w:val="en-US" w:eastAsia="zh-CN"/>
        </w:rPr>
        <w:t>按</w:t>
      </w:r>
      <w:r>
        <w:rPr>
          <w:rFonts w:hint="default" w:ascii="仿宋" w:hAnsi="仿宋" w:eastAsia="仿宋" w:cs="仿宋"/>
          <w:lang w:val="en-US" w:eastAsia="zh-CN"/>
        </w:rPr>
        <w:t>每户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default" w:ascii="仿宋" w:hAnsi="仿宋" w:eastAsia="仿宋" w:cs="仿宋"/>
          <w:lang w:val="en-US" w:eastAsia="zh-CN"/>
        </w:rPr>
        <w:t>万元</w:t>
      </w:r>
      <w:r>
        <w:rPr>
          <w:rFonts w:hint="eastAsia" w:ascii="仿宋" w:hAnsi="仿宋" w:eastAsia="仿宋" w:cs="仿宋"/>
          <w:lang w:val="en-US" w:eastAsia="zh-CN"/>
        </w:rPr>
        <w:t>标准</w:t>
      </w:r>
      <w:r>
        <w:rPr>
          <w:rFonts w:hint="default" w:ascii="仿宋" w:hAnsi="仿宋" w:eastAsia="仿宋" w:cs="仿宋"/>
          <w:lang w:val="en-US" w:eastAsia="zh-CN"/>
        </w:rPr>
        <w:t>奖励</w:t>
      </w:r>
      <w:r>
        <w:rPr>
          <w:rFonts w:hint="eastAsia" w:ascii="仿宋" w:hAnsi="仿宋" w:eastAsia="仿宋" w:cs="仿宋"/>
          <w:lang w:val="en-US" w:eastAsia="zh-CN"/>
        </w:rPr>
        <w:t>，</w:t>
      </w:r>
      <w:r>
        <w:rPr>
          <w:rFonts w:hint="default" w:ascii="仿宋" w:hAnsi="仿宋" w:eastAsia="仿宋" w:cs="仿宋"/>
          <w:lang w:val="en-US" w:eastAsia="zh-CN"/>
        </w:rPr>
        <w:t>最高不超过</w:t>
      </w:r>
      <w:r>
        <w:rPr>
          <w:rFonts w:hint="eastAsia" w:ascii="仿宋" w:hAnsi="仿宋" w:eastAsia="仿宋" w:cs="仿宋"/>
          <w:lang w:val="en-US" w:eastAsia="zh-CN"/>
        </w:rPr>
        <w:t>30</w:t>
      </w:r>
      <w:r>
        <w:rPr>
          <w:rFonts w:hint="default" w:ascii="仿宋" w:hAnsi="仿宋" w:eastAsia="仿宋" w:cs="仿宋"/>
          <w:lang w:val="en-US" w:eastAsia="zh-CN"/>
        </w:rPr>
        <w:t>0万元。</w:t>
      </w:r>
      <w:r>
        <w:rPr>
          <w:rFonts w:hint="eastAsia" w:ascii="仿宋" w:hAnsi="仿宋" w:eastAsia="仿宋" w:cs="仿宋"/>
          <w:lang w:val="en-US" w:eastAsia="zh-CN"/>
        </w:rPr>
        <w:t>奖励资金在达到奖励标准的次年开始分3年进行兑付，每年的第一季度兑付三分之一的奖励资金。</w:t>
      </w:r>
    </w:p>
    <w:p w14:paraId="453163CF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二、扶持现有商贸主体做大经营规模</w:t>
      </w:r>
    </w:p>
    <w:p w14:paraId="7200C618">
      <w:pPr>
        <w:numPr>
          <w:ilvl w:val="0"/>
          <w:numId w:val="0"/>
        </w:numPr>
        <w:ind w:firstLine="643" w:firstLineChars="200"/>
        <w:jc w:val="left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第四条 鼓励商贸主体做大规模</w:t>
      </w:r>
      <w:r>
        <w:rPr>
          <w:rFonts w:hint="default" w:ascii="仿宋" w:hAnsi="仿宋" w:eastAsia="仿宋" w:cs="仿宋"/>
          <w:lang w:val="en-US" w:eastAsia="zh-CN"/>
        </w:rPr>
        <w:t>。</w:t>
      </w:r>
      <w:r>
        <w:rPr>
          <w:rFonts w:hint="eastAsia" w:ascii="仿宋" w:hAnsi="仿宋" w:eastAsia="仿宋" w:cs="仿宋"/>
          <w:lang w:val="en-US" w:eastAsia="zh-CN"/>
        </w:rPr>
        <w:t>对年经营规模达5亿元以上且达到一定增速的批发业单位（含个体工商户）给予奖励。其中，对年经营规模5亿元以上100亿以下（不包含本数）的，按经营规模的0.1‰奖励；对年经营规模100亿元以上200亿以下（不包含本数）的，按经营规模的0.2</w:t>
      </w:r>
      <w:r>
        <w:rPr>
          <w:rFonts w:hint="default" w:ascii="仿宋" w:hAnsi="仿宋" w:eastAsia="仿宋" w:cs="仿宋"/>
          <w:lang w:val="en-US" w:eastAsia="zh-CN"/>
        </w:rPr>
        <w:t>‰</w:t>
      </w:r>
      <w:r>
        <w:rPr>
          <w:rFonts w:hint="eastAsia" w:ascii="仿宋" w:hAnsi="仿宋" w:eastAsia="仿宋" w:cs="仿宋"/>
          <w:lang w:val="en-US" w:eastAsia="zh-CN"/>
        </w:rPr>
        <w:t>奖励；对年经营规模200亿元以上的，按经营规模的0.4‰奖励。奖励于次年兑现，最高不超过800万元。</w:t>
      </w:r>
    </w:p>
    <w:p w14:paraId="1472544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对年经营规模达5000万元以上且达到一定增速的零售业单位（含个体工商户），按经营规模的0.1‰奖励，于次年兑现，最高不超过800万元。</w:t>
      </w:r>
    </w:p>
    <w:p w14:paraId="2A19E04B">
      <w:pPr>
        <w:numPr>
          <w:ilvl w:val="0"/>
          <w:numId w:val="0"/>
        </w:numPr>
        <w:ind w:firstLine="640" w:firstLineChars="200"/>
        <w:jc w:val="left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对年经营规模达500万元以上且达到一定增速的住宿和餐饮业单位（含个体工商户），按经营规模的0.5%奖励，于次年兑现，最高不超过100万元。</w:t>
      </w:r>
    </w:p>
    <w:p w14:paraId="7C272CB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三、加快推动企业转型升级</w:t>
      </w:r>
    </w:p>
    <w:p w14:paraId="61F9F106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lang w:val="en-US" w:eastAsia="zh-CN"/>
        </w:rPr>
        <w:t>五</w:t>
      </w:r>
      <w:r>
        <w:rPr>
          <w:rFonts w:hint="default" w:ascii="仿宋" w:hAnsi="仿宋" w:eastAsia="仿宋" w:cs="仿宋"/>
          <w:b/>
          <w:bCs/>
          <w:lang w:val="en-US" w:eastAsia="zh-CN"/>
        </w:rPr>
        <w:t>条 鼓励传统商贸企业转型</w:t>
      </w:r>
      <w:r>
        <w:rPr>
          <w:rFonts w:hint="default" w:ascii="仿宋" w:hAnsi="仿宋" w:eastAsia="仿宋" w:cs="仿宋"/>
          <w:lang w:val="en-US" w:eastAsia="zh-CN"/>
        </w:rPr>
        <w:t>。对采取自营、联营方式统一核算，当年零售规模达5000万元以上的商业街区、商业综合体、连锁企业（含加盟形式个体户）、商品交易市场（含农贸市场）等新注册的独立商贸法人企业（二手车、电商业态除外），给予</w:t>
      </w:r>
      <w:r>
        <w:rPr>
          <w:rFonts w:hint="eastAsia" w:ascii="仿宋" w:hAnsi="仿宋" w:eastAsia="仿宋" w:cs="仿宋"/>
          <w:lang w:val="en-US" w:eastAsia="zh-CN"/>
        </w:rPr>
        <w:t>60</w:t>
      </w:r>
      <w:r>
        <w:rPr>
          <w:rFonts w:hint="default" w:ascii="仿宋" w:hAnsi="仿宋" w:eastAsia="仿宋" w:cs="仿宋"/>
          <w:lang w:val="en-US" w:eastAsia="zh-CN"/>
        </w:rPr>
        <w:t>万元奖励，每增加500万元</w:t>
      </w:r>
      <w:r>
        <w:rPr>
          <w:rFonts w:hint="eastAsia" w:ascii="仿宋" w:hAnsi="仿宋" w:eastAsia="仿宋" w:cs="仿宋"/>
          <w:lang w:val="en-US" w:eastAsia="zh-CN"/>
        </w:rPr>
        <w:t>，</w:t>
      </w:r>
      <w:r>
        <w:rPr>
          <w:rFonts w:hint="default" w:ascii="仿宋" w:hAnsi="仿宋" w:eastAsia="仿宋" w:cs="仿宋"/>
          <w:lang w:val="en-US" w:eastAsia="zh-CN"/>
        </w:rPr>
        <w:t>再给予6万元奖励</w:t>
      </w:r>
      <w:r>
        <w:rPr>
          <w:rFonts w:hint="eastAsia" w:ascii="仿宋" w:hAnsi="仿宋" w:eastAsia="仿宋" w:cs="仿宋"/>
          <w:lang w:val="en-US" w:eastAsia="zh-CN"/>
        </w:rPr>
        <w:t>，</w:t>
      </w:r>
      <w:r>
        <w:rPr>
          <w:rFonts w:hint="default" w:ascii="仿宋" w:hAnsi="仿宋" w:eastAsia="仿宋" w:cs="仿宋"/>
          <w:lang w:val="en-US" w:eastAsia="zh-CN"/>
        </w:rPr>
        <w:t>两项合计最高不超过500万元。</w:t>
      </w:r>
    </w:p>
    <w:p w14:paraId="486BA931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lang w:val="en-US" w:eastAsia="zh-CN"/>
        </w:rPr>
        <w:t>六</w:t>
      </w:r>
      <w:r>
        <w:rPr>
          <w:rFonts w:hint="default" w:ascii="仿宋" w:hAnsi="仿宋" w:eastAsia="仿宋" w:cs="仿宋"/>
          <w:b/>
          <w:bCs/>
          <w:lang w:val="en-US" w:eastAsia="zh-CN"/>
        </w:rPr>
        <w:t>条 鼓励开展工（服）贸分离运营。</w:t>
      </w:r>
      <w:r>
        <w:rPr>
          <w:rFonts w:hint="default" w:ascii="仿宋" w:hAnsi="仿宋" w:eastAsia="仿宋" w:cs="仿宋"/>
          <w:lang w:val="en-US" w:eastAsia="zh-CN"/>
        </w:rPr>
        <w:t>对工业、服务业单位分离现有商贸业务，并新注册的独立商贸法人企业，批发业企业当年经营规模达2亿元以上的，给予20万元奖励，每增加1亿元，再给予6万元奖励，两项合计最高不超过500万元；零售业企业当年零售规模达5000万元以上的，给予</w:t>
      </w:r>
      <w:r>
        <w:rPr>
          <w:rFonts w:hint="eastAsia" w:ascii="仿宋" w:hAnsi="仿宋" w:eastAsia="仿宋" w:cs="仿宋"/>
          <w:lang w:val="en-US" w:eastAsia="zh-CN"/>
        </w:rPr>
        <w:t>60</w:t>
      </w:r>
      <w:r>
        <w:rPr>
          <w:rFonts w:hint="default" w:ascii="仿宋" w:hAnsi="仿宋" w:eastAsia="仿宋" w:cs="仿宋"/>
          <w:lang w:val="en-US" w:eastAsia="zh-CN"/>
        </w:rPr>
        <w:t>万元奖励，每增加500万元，再给予</w:t>
      </w:r>
      <w:r>
        <w:rPr>
          <w:rFonts w:hint="eastAsia" w:ascii="仿宋" w:hAnsi="仿宋" w:eastAsia="仿宋" w:cs="仿宋"/>
          <w:lang w:val="en-US" w:eastAsia="zh-CN"/>
        </w:rPr>
        <w:t>6</w:t>
      </w:r>
      <w:r>
        <w:rPr>
          <w:rFonts w:hint="default" w:ascii="仿宋" w:hAnsi="仿宋" w:eastAsia="仿宋" w:cs="仿宋"/>
          <w:lang w:val="en-US" w:eastAsia="zh-CN"/>
        </w:rPr>
        <w:t>万元奖励，两项合计最高不超过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default" w:ascii="仿宋" w:hAnsi="仿宋" w:eastAsia="仿宋" w:cs="仿宋"/>
          <w:lang w:val="en-US" w:eastAsia="zh-CN"/>
        </w:rPr>
        <w:t>00 万元。</w:t>
      </w:r>
    </w:p>
    <w:p w14:paraId="04A75033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lang w:val="en-US" w:eastAsia="zh-CN"/>
        </w:rPr>
        <w:t>七</w:t>
      </w:r>
      <w:r>
        <w:rPr>
          <w:rFonts w:hint="default" w:ascii="仿宋" w:hAnsi="仿宋" w:eastAsia="仿宋" w:cs="仿宋"/>
          <w:b/>
          <w:bCs/>
          <w:lang w:val="en-US" w:eastAsia="zh-CN"/>
        </w:rPr>
        <w:t>条 鼓励电商平台设立区域运营中心。</w:t>
      </w:r>
      <w:r>
        <w:rPr>
          <w:rFonts w:hint="default" w:ascii="仿宋" w:hAnsi="仿宋" w:eastAsia="仿宋" w:cs="仿宋"/>
          <w:lang w:val="en-US" w:eastAsia="zh-CN"/>
        </w:rPr>
        <w:t>对新设运营中心并将自营业务独立核算的电商平台，当年网络零售规模分别达到10亿元</w:t>
      </w:r>
      <w:r>
        <w:rPr>
          <w:rFonts w:hint="eastAsia" w:ascii="仿宋" w:hAnsi="仿宋" w:eastAsia="仿宋" w:cs="仿宋"/>
          <w:lang w:val="en-US" w:eastAsia="zh-CN"/>
        </w:rPr>
        <w:t>、</w:t>
      </w:r>
      <w:r>
        <w:rPr>
          <w:rFonts w:hint="default" w:ascii="仿宋" w:hAnsi="仿宋" w:eastAsia="仿宋" w:cs="仿宋"/>
          <w:lang w:val="en-US" w:eastAsia="zh-CN"/>
        </w:rPr>
        <w:t>20亿元以上，分别给予600万元</w:t>
      </w:r>
      <w:r>
        <w:rPr>
          <w:rFonts w:hint="eastAsia" w:ascii="仿宋" w:hAnsi="仿宋" w:eastAsia="仿宋" w:cs="仿宋"/>
          <w:lang w:val="en-US" w:eastAsia="zh-CN"/>
        </w:rPr>
        <w:t>、</w:t>
      </w:r>
      <w:r>
        <w:rPr>
          <w:rFonts w:hint="default" w:ascii="仿宋" w:hAnsi="仿宋" w:eastAsia="仿宋" w:cs="仿宋"/>
          <w:lang w:val="en-US" w:eastAsia="zh-CN"/>
        </w:rPr>
        <w:t>1200万元奖励。</w:t>
      </w:r>
    </w:p>
    <w:p w14:paraId="70DCA4C9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lang w:val="en-US" w:eastAsia="zh-CN"/>
        </w:rPr>
        <w:t>八</w:t>
      </w:r>
      <w:r>
        <w:rPr>
          <w:rFonts w:hint="default" w:ascii="仿宋" w:hAnsi="仿宋" w:eastAsia="仿宋" w:cs="仿宋"/>
          <w:b/>
          <w:bCs/>
          <w:lang w:val="en-US" w:eastAsia="zh-CN"/>
        </w:rPr>
        <w:t>条 鼓励电商主体做大规模</w:t>
      </w:r>
      <w:r>
        <w:rPr>
          <w:rFonts w:hint="default" w:ascii="仿宋" w:hAnsi="仿宋" w:eastAsia="仿宋" w:cs="仿宋"/>
          <w:lang w:val="en-US" w:eastAsia="zh-CN"/>
        </w:rPr>
        <w:t>。对年网络零售规模达5000万元以上且达到一定增速的电商单位（含个体工商户），网络零售规模较上年每增加1000万元奖励6万元，最高不超过800万元。</w:t>
      </w:r>
    </w:p>
    <w:p w14:paraId="33683377">
      <w:pPr>
        <w:numPr>
          <w:ilvl w:val="0"/>
          <w:numId w:val="0"/>
        </w:numPr>
        <w:ind w:firstLine="643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default" w:ascii="仿宋" w:hAnsi="仿宋" w:eastAsia="仿宋" w:cs="仿宋"/>
          <w:b/>
          <w:bCs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lang w:val="en-US" w:eastAsia="zh-CN"/>
        </w:rPr>
        <w:t>九</w:t>
      </w:r>
      <w:r>
        <w:rPr>
          <w:rFonts w:hint="default" w:ascii="仿宋" w:hAnsi="仿宋" w:eastAsia="仿宋" w:cs="仿宋"/>
          <w:b/>
          <w:bCs/>
          <w:lang w:val="en-US" w:eastAsia="zh-CN"/>
        </w:rPr>
        <w:t>条 鼓励开展二手车经销业务</w:t>
      </w:r>
      <w:r>
        <w:rPr>
          <w:rFonts w:hint="default" w:ascii="仿宋" w:hAnsi="仿宋" w:eastAsia="仿宋" w:cs="仿宋"/>
          <w:lang w:val="en-US" w:eastAsia="zh-CN"/>
        </w:rPr>
        <w:t>。对年零售规模达2000万元以上且达到一定增速的二手车经销企业，零售规模较上年每增加100万元奖励0.5万元，最高不超过500万元，可与第一条政策叠加享受。</w:t>
      </w:r>
    </w:p>
    <w:p w14:paraId="071826EE"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四、促进商贸市场繁荣</w:t>
      </w:r>
    </w:p>
    <w:p w14:paraId="67C32172">
      <w:pPr>
        <w:ind w:firstLine="643" w:firstLineChars="200"/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第十条 支持会展业发展。</w:t>
      </w:r>
      <w:r>
        <w:rPr>
          <w:rFonts w:hint="eastAsia" w:ascii="仿宋" w:hAnsi="仿宋" w:eastAsia="仿宋" w:cs="仿宋"/>
          <w:lang w:val="en-US" w:eastAsia="zh-CN"/>
        </w:rPr>
        <w:t>对在南昌县（区）辖区内举办，并获得省（市）商务部门资金支持的展会，按照省（市）商务部门支持资金的50%配套县级支持资金，于上级资金下达后6个月内兑现。</w:t>
      </w:r>
    </w:p>
    <w:p w14:paraId="42A1EF0F">
      <w:pPr>
        <w:ind w:firstLine="643" w:firstLineChars="20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第十一条  支持商贸促销活动。</w:t>
      </w:r>
      <w:r>
        <w:rPr>
          <w:rFonts w:hint="eastAsia" w:ascii="仿宋" w:hAnsi="仿宋" w:eastAsia="仿宋" w:cs="仿宋"/>
          <w:lang w:val="en-US" w:eastAsia="zh-CN"/>
        </w:rPr>
        <w:t>每年安排500万元财政资金，用于在元旦、春节、五一、端午、中秋、国庆等重要节假日开展系列商贸促销活动。</w:t>
      </w:r>
    </w:p>
    <w:p w14:paraId="529DD95B">
      <w:pPr>
        <w:ind w:firstLine="643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第十二条  支持乡镇（街道办）商贸业发展。</w:t>
      </w:r>
      <w:r>
        <w:rPr>
          <w:rFonts w:hint="eastAsia" w:ascii="仿宋" w:hAnsi="仿宋" w:eastAsia="仿宋" w:cs="仿宋"/>
          <w:lang w:val="en-US" w:eastAsia="zh-CN"/>
        </w:rPr>
        <w:t>每年安排财政资金100万元，对全县（区）商贸工作做出突出贡献的乡镇、街道办，给予一次性奖励，于次年上半年兑现。</w:t>
      </w:r>
    </w:p>
    <w:p w14:paraId="696B8310">
      <w:pPr>
        <w:ind w:firstLine="640" w:firstLineChars="20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五、附则</w:t>
      </w:r>
    </w:p>
    <w:p w14:paraId="6144C0B0">
      <w:pPr>
        <w:ind w:firstLine="643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第十三条</w:t>
      </w:r>
      <w:r>
        <w:rPr>
          <w:rFonts w:hint="eastAsia" w:ascii="仿宋" w:hAnsi="仿宋" w:eastAsia="仿宋" w:cs="仿宋"/>
          <w:lang w:val="en-US" w:eastAsia="zh-CN"/>
        </w:rPr>
        <w:t xml:space="preserve"> 第一条、第三条、第四条、第八条、第九条政策均于达到标准的次年兑现。</w:t>
      </w:r>
    </w:p>
    <w:p w14:paraId="3B210CEE">
      <w:pPr>
        <w:ind w:firstLine="64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第二条、第五条、第六条、第七条政策，达到标准次年兑现50%的奖励资金，次年申报主体达到一定增速的于第三年兑现剩余50%的奖励资金。</w:t>
      </w:r>
    </w:p>
    <w:p w14:paraId="1E75F00D">
      <w:pPr>
        <w:ind w:firstLine="640" w:firstLineChars="20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第十一条，在活动举办后3个月内兑现。</w:t>
      </w:r>
    </w:p>
    <w:p w14:paraId="07EEA26A">
      <w:pPr>
        <w:ind w:firstLine="643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 xml:space="preserve">第十四条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lang w:val="en-US" w:eastAsia="zh-CN"/>
        </w:rPr>
        <w:t>支持对象是在政策期内具有良好的财务记录和信用记录，且未发生过安全生产事故的企业或单位组织。</w:t>
      </w:r>
    </w:p>
    <w:p w14:paraId="00D3ABA6">
      <w:pPr>
        <w:ind w:firstLine="64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本政策措施奖励标准除有特别标明外，均包含本数。申报主体不得通过拆分现有商贸主体、本县关联商贸主体间的数据调整等弄虚作假方式申报本措施，否则将追回奖补资金，依法追究责任，并依法依规列入失信记录。</w:t>
      </w:r>
    </w:p>
    <w:p w14:paraId="3A99A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第十五条</w:t>
      </w:r>
      <w:r>
        <w:rPr>
          <w:rFonts w:hint="eastAsia" w:ascii="仿宋_GB2312" w:hAnsi="Calibri" w:eastAsia="仿宋_GB2312" w:cs="Times New Roman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lang w:val="en-US" w:eastAsia="zh-CN"/>
        </w:rPr>
        <w:t>本政策措施与上级政策支持事项一致时，优先适用本政策，不重复支持；申报主体同时符合本政策措施多条条款的，按照就高不重复的原则给予支持，申报主体自行选择申报类别，不叠加享受。</w:t>
      </w:r>
    </w:p>
    <w:p w14:paraId="25CAA8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  <w:t>第十六条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lang w:val="en-US" w:eastAsia="zh-CN"/>
        </w:rPr>
        <w:t>本政策措施自印发之日起施行，有效期至2026年12月31日。本政策奖励条款自2025年1月1日起计算。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0EA1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187D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4187D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D305C8"/>
    <w:rsid w:val="6D28205F"/>
    <w:rsid w:val="7F6D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ajorEastAsia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2341</Words>
  <Characters>2460</Characters>
  <Lines>0</Lines>
  <Paragraphs>0</Paragraphs>
  <TotalTime>1</TotalTime>
  <ScaleCrop>false</ScaleCrop>
  <LinksUpToDate>false</LinksUpToDate>
  <CharactersWithSpaces>2486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2025-07-28T06:56:00Z</dcterms:created>
  <dc:creator>Administrator</dc:creator>
  <cp:lastModifiedBy>I am legend</cp:lastModifiedBy>
  <dcterms:modified xsi:type="dcterms:W3CDTF">2025-07-31T06:55:19Z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eyJoZGlkIjoiZWQzN2FiMWVhOTY4MDkyNjg1YThiZThiYTIyNWVlMDEiLCJ1c2VySWQiOiIzOTg0NTYyMzQifQ==</vt:lpwstr>
  </property>
  <property fmtid="{D5CDD505-2E9C-101B-9397-08002B2CF9AE}" pid="4" name="ICV">
    <vt:lpwstr>4915422980A145F9B2F75A403E6F29D2_12</vt:lpwstr>
  </property>
</Properties>
</file>