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CC" w:rsidRDefault="00DD057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8A7E65">
        <w:rPr>
          <w:rFonts w:ascii="方正小标宋_GBK" w:eastAsia="方正小标宋_GBK" w:hAnsi="方正小标宋_GBK" w:cs="方正小标宋_GBK" w:hint="eastAsia"/>
          <w:sz w:val="44"/>
          <w:szCs w:val="44"/>
        </w:rPr>
        <w:t>基层政务公开标准化规范化目录调研通知</w:t>
      </w:r>
    </w:p>
    <w:p w:rsidR="00DD057F" w:rsidRDefault="00DD057F">
      <w:pPr>
        <w:jc w:val="center"/>
        <w:rPr>
          <w:rFonts w:ascii="黑体" w:eastAsia="黑体" w:hAnsi="黑体" w:cs="黑体"/>
          <w:sz w:val="32"/>
          <w:szCs w:val="32"/>
        </w:rPr>
      </w:pPr>
    </w:p>
    <w:p w:rsidR="005409CC" w:rsidRPr="00EA3FD7" w:rsidRDefault="008A7E65">
      <w:pPr>
        <w:rPr>
          <w:rFonts w:asciiTheme="minorEastAsia" w:hAnsiTheme="minorEastAsia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EA3FD7">
        <w:rPr>
          <w:rFonts w:asciiTheme="minorEastAsia" w:hAnsiTheme="minorEastAsia" w:cs="仿宋_GB2312" w:hint="eastAsia"/>
          <w:sz w:val="32"/>
          <w:szCs w:val="32"/>
        </w:rPr>
        <w:t>为进一步完善基层政务公开标准化规范化目录编制工作，</w:t>
      </w:r>
      <w:r w:rsidR="004E665F">
        <w:rPr>
          <w:rFonts w:asciiTheme="minorEastAsia" w:hAnsiTheme="minorEastAsia" w:cs="仿宋_GB2312" w:hint="eastAsia"/>
          <w:sz w:val="32"/>
          <w:szCs w:val="32"/>
        </w:rPr>
        <w:t>决定</w:t>
      </w:r>
      <w:r w:rsidR="00DD057F" w:rsidRPr="00EA3FD7">
        <w:rPr>
          <w:rFonts w:asciiTheme="minorEastAsia" w:hAnsiTheme="minorEastAsia" w:cs="仿宋_GB2312" w:hint="eastAsia"/>
          <w:sz w:val="32"/>
          <w:szCs w:val="32"/>
        </w:rPr>
        <w:t>下周一</w:t>
      </w:r>
      <w:r w:rsidR="004E665F">
        <w:rPr>
          <w:rFonts w:asciiTheme="minorEastAsia" w:hAnsiTheme="minorEastAsia" w:cs="仿宋_GB2312" w:hint="eastAsia"/>
          <w:sz w:val="32"/>
          <w:szCs w:val="32"/>
        </w:rPr>
        <w:t>召开“</w:t>
      </w:r>
      <w:r w:rsidRPr="00EA3FD7">
        <w:rPr>
          <w:rFonts w:asciiTheme="minorEastAsia" w:hAnsiTheme="minorEastAsia" w:cs="仿宋_GB2312" w:hint="eastAsia"/>
          <w:sz w:val="32"/>
          <w:szCs w:val="32"/>
        </w:rPr>
        <w:t>两化目录</w:t>
      </w:r>
      <w:r w:rsidR="004E665F">
        <w:rPr>
          <w:rFonts w:asciiTheme="minorEastAsia" w:hAnsiTheme="minorEastAsia" w:cs="仿宋_GB2312" w:hint="eastAsia"/>
          <w:sz w:val="32"/>
          <w:szCs w:val="32"/>
        </w:rPr>
        <w:t>”调研</w:t>
      </w:r>
      <w:r w:rsidRPr="00EA3FD7">
        <w:rPr>
          <w:rFonts w:asciiTheme="minorEastAsia" w:hAnsiTheme="minorEastAsia" w:cs="仿宋_GB2312" w:hint="eastAsia"/>
          <w:sz w:val="32"/>
          <w:szCs w:val="32"/>
        </w:rPr>
        <w:t>会，与安策公司就</w:t>
      </w:r>
      <w:r w:rsidR="004E665F">
        <w:rPr>
          <w:rFonts w:asciiTheme="minorEastAsia" w:hAnsiTheme="minorEastAsia" w:cs="仿宋_GB2312" w:hint="eastAsia"/>
          <w:sz w:val="32"/>
          <w:szCs w:val="32"/>
        </w:rPr>
        <w:t>“</w:t>
      </w:r>
      <w:r w:rsidR="004E665F" w:rsidRPr="00EA3FD7">
        <w:rPr>
          <w:rFonts w:asciiTheme="minorEastAsia" w:hAnsiTheme="minorEastAsia" w:cs="仿宋_GB2312" w:hint="eastAsia"/>
          <w:sz w:val="32"/>
          <w:szCs w:val="32"/>
        </w:rPr>
        <w:t>两化目录</w:t>
      </w:r>
      <w:r w:rsidR="004E665F">
        <w:rPr>
          <w:rFonts w:asciiTheme="minorEastAsia" w:hAnsiTheme="minorEastAsia" w:cs="仿宋_GB2312" w:hint="eastAsia"/>
          <w:sz w:val="32"/>
          <w:szCs w:val="32"/>
        </w:rPr>
        <w:t>”</w:t>
      </w:r>
      <w:r w:rsidRPr="00EA3FD7">
        <w:rPr>
          <w:rFonts w:asciiTheme="minorEastAsia" w:hAnsiTheme="minorEastAsia" w:cs="仿宋_GB2312" w:hint="eastAsia"/>
          <w:sz w:val="32"/>
          <w:szCs w:val="32"/>
        </w:rPr>
        <w:t>初稿</w:t>
      </w:r>
      <w:r w:rsidRPr="004E40DA">
        <w:rPr>
          <w:rFonts w:asciiTheme="minorEastAsia" w:hAnsiTheme="minorEastAsia" w:cs="仿宋_GB2312" w:hint="eastAsia"/>
          <w:b/>
          <w:sz w:val="32"/>
          <w:szCs w:val="32"/>
        </w:rPr>
        <w:t>（</w:t>
      </w:r>
      <w:r w:rsidR="00DD057F" w:rsidRPr="004E40DA">
        <w:rPr>
          <w:rFonts w:asciiTheme="minorEastAsia" w:hAnsiTheme="minorEastAsia" w:cs="仿宋_GB2312" w:hint="eastAsia"/>
          <w:b/>
          <w:sz w:val="32"/>
          <w:szCs w:val="32"/>
        </w:rPr>
        <w:t>详见12月15日通过</w:t>
      </w:r>
      <w:proofErr w:type="spellStart"/>
      <w:r w:rsidR="00DD057F" w:rsidRPr="004E40DA">
        <w:rPr>
          <w:rFonts w:asciiTheme="minorEastAsia" w:hAnsiTheme="minorEastAsia" w:cs="仿宋_GB2312" w:hint="eastAsia"/>
          <w:b/>
          <w:sz w:val="32"/>
          <w:szCs w:val="32"/>
        </w:rPr>
        <w:t>oa</w:t>
      </w:r>
      <w:proofErr w:type="spellEnd"/>
      <w:r w:rsidR="00DD057F" w:rsidRPr="004E40DA">
        <w:rPr>
          <w:rFonts w:asciiTheme="minorEastAsia" w:hAnsiTheme="minorEastAsia" w:cs="仿宋_GB2312" w:hint="eastAsia"/>
          <w:b/>
          <w:sz w:val="32"/>
          <w:szCs w:val="32"/>
        </w:rPr>
        <w:t>发送的《关于基层政务公开标准化规范化目录初稿需确认相关事项的通知》</w:t>
      </w:r>
      <w:r w:rsidRPr="004E40DA">
        <w:rPr>
          <w:rFonts w:asciiTheme="minorEastAsia" w:hAnsiTheme="minorEastAsia" w:cs="仿宋_GB2312" w:hint="eastAsia"/>
          <w:b/>
          <w:sz w:val="32"/>
          <w:szCs w:val="32"/>
        </w:rPr>
        <w:t>）</w:t>
      </w:r>
      <w:r w:rsidRPr="00EA3FD7">
        <w:rPr>
          <w:rFonts w:asciiTheme="minorEastAsia" w:hAnsiTheme="minorEastAsia" w:cs="仿宋_GB2312" w:hint="eastAsia"/>
          <w:sz w:val="32"/>
          <w:szCs w:val="32"/>
        </w:rPr>
        <w:t>进行现场交流，各</w:t>
      </w:r>
      <w:r w:rsidR="004E665F">
        <w:rPr>
          <w:rFonts w:asciiTheme="minorEastAsia" w:hAnsiTheme="minorEastAsia" w:cs="仿宋_GB2312" w:hint="eastAsia"/>
          <w:sz w:val="32"/>
          <w:szCs w:val="32"/>
        </w:rPr>
        <w:t>单位</w:t>
      </w:r>
      <w:r w:rsidRPr="00EA3FD7">
        <w:rPr>
          <w:rFonts w:asciiTheme="minorEastAsia" w:hAnsiTheme="minorEastAsia" w:cs="仿宋_GB2312" w:hint="eastAsia"/>
          <w:sz w:val="32"/>
          <w:szCs w:val="32"/>
        </w:rPr>
        <w:t>对目录初稿中标注的事项调整情况</w:t>
      </w:r>
      <w:r w:rsidR="004E665F">
        <w:rPr>
          <w:rFonts w:asciiTheme="minorEastAsia" w:hAnsiTheme="minorEastAsia" w:cs="仿宋_GB2312" w:hint="eastAsia"/>
          <w:sz w:val="32"/>
          <w:szCs w:val="32"/>
        </w:rPr>
        <w:t>并结合自身工作实际提</w:t>
      </w:r>
      <w:r w:rsidR="00B051CA">
        <w:rPr>
          <w:rFonts w:asciiTheme="minorEastAsia" w:hAnsiTheme="minorEastAsia" w:cs="仿宋_GB2312" w:hint="eastAsia"/>
          <w:sz w:val="32"/>
          <w:szCs w:val="32"/>
        </w:rPr>
        <w:t>出</w:t>
      </w:r>
      <w:r w:rsidR="004E665F">
        <w:rPr>
          <w:rFonts w:asciiTheme="minorEastAsia" w:hAnsiTheme="minorEastAsia" w:cs="仿宋_GB2312" w:hint="eastAsia"/>
          <w:sz w:val="32"/>
          <w:szCs w:val="32"/>
        </w:rPr>
        <w:t>反馈意见，具体安排如下：</w:t>
      </w:r>
    </w:p>
    <w:p w:rsidR="005409CC" w:rsidRPr="00EA3FD7" w:rsidRDefault="008A7E65">
      <w:pPr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一、调研</w:t>
      </w:r>
      <w:r w:rsidR="004E665F">
        <w:rPr>
          <w:rFonts w:asciiTheme="minorEastAsia" w:hAnsiTheme="minorEastAsia" w:cs="仿宋_GB2312" w:hint="eastAsia"/>
          <w:sz w:val="32"/>
          <w:szCs w:val="32"/>
        </w:rPr>
        <w:t>会</w:t>
      </w:r>
      <w:r w:rsidRPr="00EA3FD7">
        <w:rPr>
          <w:rFonts w:asciiTheme="minorEastAsia" w:hAnsiTheme="minorEastAsia" w:cs="仿宋_GB2312" w:hint="eastAsia"/>
          <w:sz w:val="32"/>
          <w:szCs w:val="32"/>
        </w:rPr>
        <w:t>时间</w:t>
      </w:r>
    </w:p>
    <w:p w:rsidR="005409CC" w:rsidRPr="00EA3FD7" w:rsidRDefault="008A7E65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2020年</w:t>
      </w:r>
      <w:r w:rsidR="00DD057F" w:rsidRPr="00EA3FD7">
        <w:rPr>
          <w:rFonts w:asciiTheme="minorEastAsia" w:hAnsiTheme="minorEastAsia" w:cs="仿宋_GB2312" w:hint="eastAsia"/>
          <w:sz w:val="32"/>
          <w:szCs w:val="32"/>
        </w:rPr>
        <w:t>12月21日</w:t>
      </w:r>
      <w:r w:rsidR="007A4A44">
        <w:rPr>
          <w:rFonts w:asciiTheme="minorEastAsia" w:hAnsiTheme="minorEastAsia" w:cs="仿宋_GB2312" w:hint="eastAsia"/>
          <w:sz w:val="32"/>
          <w:szCs w:val="32"/>
        </w:rPr>
        <w:t>全天</w:t>
      </w:r>
      <w:r w:rsidR="00DD057F" w:rsidRPr="00EA3FD7">
        <w:rPr>
          <w:rFonts w:asciiTheme="minorEastAsia" w:hAnsiTheme="minorEastAsia" w:cs="仿宋_GB2312" w:hint="eastAsia"/>
          <w:sz w:val="32"/>
          <w:szCs w:val="32"/>
        </w:rPr>
        <w:t>（下周一）</w:t>
      </w:r>
    </w:p>
    <w:p w:rsidR="005409CC" w:rsidRPr="00EA3FD7" w:rsidRDefault="008A7E65">
      <w:pPr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二、调研</w:t>
      </w:r>
      <w:r w:rsidR="005E13C9">
        <w:rPr>
          <w:rFonts w:asciiTheme="minorEastAsia" w:hAnsiTheme="minorEastAsia" w:cs="仿宋_GB2312" w:hint="eastAsia"/>
          <w:sz w:val="32"/>
          <w:szCs w:val="32"/>
        </w:rPr>
        <w:t>会</w:t>
      </w:r>
      <w:r w:rsidRPr="00EA3FD7">
        <w:rPr>
          <w:rFonts w:asciiTheme="minorEastAsia" w:hAnsiTheme="minorEastAsia" w:cs="仿宋_GB2312" w:hint="eastAsia"/>
          <w:sz w:val="32"/>
          <w:szCs w:val="32"/>
        </w:rPr>
        <w:t>地点</w:t>
      </w:r>
    </w:p>
    <w:p w:rsidR="005409CC" w:rsidRPr="00EA3FD7" w:rsidRDefault="00DD057F">
      <w:pPr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澄碧湖大厦六楼东</w:t>
      </w:r>
      <w:r w:rsidR="006F7608" w:rsidRPr="00EA3FD7">
        <w:rPr>
          <w:rFonts w:asciiTheme="minorEastAsia" w:hAnsiTheme="minorEastAsia" w:cs="仿宋_GB2312" w:hint="eastAsia"/>
          <w:sz w:val="32"/>
          <w:szCs w:val="32"/>
        </w:rPr>
        <w:t>北侧608室</w:t>
      </w:r>
    </w:p>
    <w:p w:rsidR="005409CC" w:rsidRPr="00EA3FD7" w:rsidRDefault="008A7E65">
      <w:pPr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三、参加人员</w:t>
      </w:r>
    </w:p>
    <w:p w:rsidR="005409CC" w:rsidRPr="00F271D2" w:rsidRDefault="008A7E65">
      <w:pPr>
        <w:spacing w:line="560" w:lineRule="exact"/>
        <w:rPr>
          <w:b/>
          <w:sz w:val="44"/>
          <w:szCs w:val="44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</w:t>
      </w:r>
      <w:r w:rsidR="006E1E3D" w:rsidRPr="00EA3FD7">
        <w:rPr>
          <w:rFonts w:asciiTheme="minorEastAsia" w:hAnsiTheme="minorEastAsia" w:cs="仿宋_GB2312" w:hint="eastAsia"/>
          <w:sz w:val="32"/>
          <w:szCs w:val="32"/>
        </w:rPr>
        <w:t>见附件</w:t>
      </w:r>
      <w:r w:rsidR="00F271D2">
        <w:rPr>
          <w:rFonts w:asciiTheme="minorEastAsia" w:hAnsiTheme="minorEastAsia" w:cs="仿宋_GB2312" w:hint="eastAsia"/>
          <w:sz w:val="32"/>
          <w:szCs w:val="32"/>
        </w:rPr>
        <w:t>：</w:t>
      </w:r>
      <w:r w:rsidR="00F271D2" w:rsidRPr="00F271D2">
        <w:rPr>
          <w:rFonts w:asciiTheme="minorEastAsia" w:hAnsiTheme="minorEastAsia" w:cs="仿宋_GB2312" w:hint="eastAsia"/>
          <w:sz w:val="32"/>
          <w:szCs w:val="32"/>
        </w:rPr>
        <w:t>基层政务公开“两化”调研安排</w:t>
      </w:r>
    </w:p>
    <w:p w:rsidR="005409CC" w:rsidRPr="00EA3FD7" w:rsidRDefault="008A7E65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四、注意事项</w:t>
      </w:r>
    </w:p>
    <w:p w:rsidR="005409CC" w:rsidRPr="00EA3FD7" w:rsidRDefault="008A7E65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1.请各相关单位依照调研</w:t>
      </w:r>
      <w:r w:rsidR="004E665F" w:rsidRPr="00EA3FD7">
        <w:rPr>
          <w:rFonts w:asciiTheme="minorEastAsia" w:hAnsiTheme="minorEastAsia" w:cs="仿宋_GB2312" w:hint="eastAsia"/>
          <w:sz w:val="32"/>
          <w:szCs w:val="32"/>
        </w:rPr>
        <w:t>计划</w:t>
      </w:r>
      <w:r w:rsidRPr="00EA3FD7">
        <w:rPr>
          <w:rFonts w:asciiTheme="minorEastAsia" w:hAnsiTheme="minorEastAsia" w:cs="仿宋_GB2312" w:hint="eastAsia"/>
          <w:sz w:val="32"/>
          <w:szCs w:val="32"/>
        </w:rPr>
        <w:t>安排，提前熟悉安策公司编写的南昌县</w:t>
      </w:r>
      <w:bookmarkStart w:id="0" w:name="_GoBack"/>
      <w:bookmarkEnd w:id="0"/>
      <w:r w:rsidR="003B2A59">
        <w:rPr>
          <w:rFonts w:asciiTheme="minorEastAsia" w:hAnsiTheme="minorEastAsia" w:cs="仿宋_GB2312" w:hint="eastAsia"/>
          <w:sz w:val="32"/>
          <w:szCs w:val="32"/>
        </w:rPr>
        <w:t>政务公开标准目录初稿中涉及到的领域</w:t>
      </w:r>
      <w:r w:rsidRPr="00EA3FD7">
        <w:rPr>
          <w:rFonts w:asciiTheme="minorEastAsia" w:hAnsiTheme="minorEastAsia" w:cs="仿宋_GB2312" w:hint="eastAsia"/>
          <w:sz w:val="32"/>
          <w:szCs w:val="32"/>
        </w:rPr>
        <w:t>内容，</w:t>
      </w:r>
      <w:r w:rsidR="00E906AD">
        <w:rPr>
          <w:rFonts w:asciiTheme="minorEastAsia" w:hAnsiTheme="minorEastAsia" w:cs="仿宋_GB2312" w:hint="eastAsia"/>
          <w:sz w:val="32"/>
          <w:szCs w:val="32"/>
        </w:rPr>
        <w:t>请</w:t>
      </w:r>
      <w:r w:rsidR="008920A0">
        <w:rPr>
          <w:rFonts w:asciiTheme="minorEastAsia" w:hAnsiTheme="minorEastAsia" w:cs="仿宋_GB2312" w:hint="eastAsia"/>
          <w:sz w:val="32"/>
          <w:szCs w:val="32"/>
        </w:rPr>
        <w:t>分管领导和</w:t>
      </w:r>
      <w:r w:rsidR="00E906AD">
        <w:rPr>
          <w:rFonts w:asciiTheme="minorEastAsia" w:hAnsiTheme="minorEastAsia" w:cs="仿宋_GB2312" w:hint="eastAsia"/>
          <w:sz w:val="32"/>
          <w:szCs w:val="32"/>
        </w:rPr>
        <w:t>业务工作</w:t>
      </w:r>
      <w:r w:rsidRPr="00EA3FD7">
        <w:rPr>
          <w:rFonts w:asciiTheme="minorEastAsia" w:hAnsiTheme="minorEastAsia" w:cs="仿宋_GB2312" w:hint="eastAsia"/>
          <w:sz w:val="32"/>
          <w:szCs w:val="32"/>
        </w:rPr>
        <w:t>人员参</w:t>
      </w:r>
      <w:r w:rsidR="00E906AD">
        <w:rPr>
          <w:rFonts w:asciiTheme="minorEastAsia" w:hAnsiTheme="minorEastAsia" w:cs="仿宋_GB2312" w:hint="eastAsia"/>
          <w:sz w:val="32"/>
          <w:szCs w:val="32"/>
        </w:rPr>
        <w:t>加</w:t>
      </w:r>
      <w:r w:rsidRPr="00EA3FD7">
        <w:rPr>
          <w:rFonts w:asciiTheme="minorEastAsia" w:hAnsiTheme="minorEastAsia" w:cs="仿宋_GB2312" w:hint="eastAsia"/>
          <w:sz w:val="32"/>
          <w:szCs w:val="32"/>
        </w:rPr>
        <w:t>调研</w:t>
      </w:r>
      <w:r w:rsidR="00E906AD">
        <w:rPr>
          <w:rFonts w:asciiTheme="minorEastAsia" w:hAnsiTheme="minorEastAsia" w:cs="仿宋_GB2312" w:hint="eastAsia"/>
          <w:sz w:val="32"/>
          <w:szCs w:val="32"/>
        </w:rPr>
        <w:t>会</w:t>
      </w:r>
      <w:r w:rsidRPr="00EA3FD7">
        <w:rPr>
          <w:rFonts w:asciiTheme="minorEastAsia" w:hAnsiTheme="minorEastAsia" w:cs="仿宋_GB2312" w:hint="eastAsia"/>
          <w:sz w:val="32"/>
          <w:szCs w:val="32"/>
        </w:rPr>
        <w:t>；</w:t>
      </w:r>
    </w:p>
    <w:p w:rsidR="001E75DA" w:rsidRDefault="008A7E65" w:rsidP="001E75DA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>2.</w:t>
      </w:r>
      <w:r w:rsidR="001E75DA">
        <w:rPr>
          <w:rFonts w:asciiTheme="minorEastAsia" w:hAnsiTheme="minorEastAsia" w:cs="仿宋_GB2312" w:hint="eastAsia"/>
          <w:sz w:val="32"/>
          <w:szCs w:val="32"/>
        </w:rPr>
        <w:t>请</w:t>
      </w:r>
      <w:r w:rsidRPr="00EA3FD7">
        <w:rPr>
          <w:rFonts w:asciiTheme="minorEastAsia" w:hAnsiTheme="minorEastAsia" w:cs="仿宋_GB2312" w:hint="eastAsia"/>
          <w:sz w:val="32"/>
          <w:szCs w:val="32"/>
        </w:rPr>
        <w:t>各单位</w:t>
      </w:r>
      <w:r w:rsidR="008920A0">
        <w:rPr>
          <w:rFonts w:asciiTheme="minorEastAsia" w:hAnsiTheme="minorEastAsia" w:cs="仿宋_GB2312" w:hint="eastAsia"/>
          <w:sz w:val="32"/>
          <w:szCs w:val="32"/>
        </w:rPr>
        <w:t>分管领导和业务工作</w:t>
      </w:r>
      <w:r w:rsidR="008920A0" w:rsidRPr="00EA3FD7">
        <w:rPr>
          <w:rFonts w:asciiTheme="minorEastAsia" w:hAnsiTheme="minorEastAsia" w:cs="仿宋_GB2312" w:hint="eastAsia"/>
          <w:sz w:val="32"/>
          <w:szCs w:val="32"/>
        </w:rPr>
        <w:t>人员</w:t>
      </w:r>
      <w:r w:rsidRPr="00EA3FD7">
        <w:rPr>
          <w:rFonts w:asciiTheme="minorEastAsia" w:hAnsiTheme="minorEastAsia" w:cs="仿宋_GB2312" w:hint="eastAsia"/>
          <w:sz w:val="32"/>
          <w:szCs w:val="32"/>
        </w:rPr>
        <w:t>按照调研安排</w:t>
      </w:r>
      <w:r w:rsidR="008920A0">
        <w:rPr>
          <w:rFonts w:asciiTheme="minorEastAsia" w:hAnsiTheme="minorEastAsia" w:cs="仿宋_GB2312" w:hint="eastAsia"/>
          <w:sz w:val="32"/>
          <w:szCs w:val="32"/>
        </w:rPr>
        <w:t>表</w:t>
      </w:r>
      <w:r w:rsidR="00E11442">
        <w:rPr>
          <w:rFonts w:asciiTheme="minorEastAsia" w:hAnsiTheme="minorEastAsia" w:cs="仿宋_GB2312" w:hint="eastAsia"/>
          <w:sz w:val="32"/>
          <w:szCs w:val="32"/>
        </w:rPr>
        <w:t>的</w:t>
      </w:r>
      <w:r w:rsidRPr="00EA3FD7">
        <w:rPr>
          <w:rFonts w:asciiTheme="minorEastAsia" w:hAnsiTheme="minorEastAsia" w:cs="仿宋_GB2312" w:hint="eastAsia"/>
          <w:sz w:val="32"/>
          <w:szCs w:val="32"/>
        </w:rPr>
        <w:t>时间到场，在确认完成各自领域事项调整的工作后即可离开</w:t>
      </w:r>
      <w:r w:rsidR="008920A0">
        <w:rPr>
          <w:rFonts w:asciiTheme="minorEastAsia" w:hAnsiTheme="minorEastAsia" w:cs="仿宋_GB2312" w:hint="eastAsia"/>
          <w:sz w:val="32"/>
          <w:szCs w:val="32"/>
        </w:rPr>
        <w:t>。</w:t>
      </w: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</w:t>
      </w:r>
      <w:r w:rsidR="001E75DA">
        <w:rPr>
          <w:rFonts w:asciiTheme="minorEastAsia" w:hAnsiTheme="minorEastAsia" w:cs="仿宋_GB2312" w:hint="eastAsia"/>
          <w:sz w:val="32"/>
          <w:szCs w:val="32"/>
        </w:rPr>
        <w:t xml:space="preserve">     </w:t>
      </w:r>
    </w:p>
    <w:p w:rsidR="00584C1F" w:rsidRDefault="008A7E65" w:rsidP="00B8121F">
      <w:pPr>
        <w:spacing w:line="560" w:lineRule="exact"/>
        <w:ind w:firstLine="645"/>
        <w:rPr>
          <w:rFonts w:asciiTheme="minorEastAsia" w:hAnsiTheme="minorEastAsia" w:cs="仿宋_GB2312" w:hint="eastAsia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lastRenderedPageBreak/>
        <w:t>3.</w:t>
      </w:r>
      <w:r w:rsidR="001E75DA">
        <w:rPr>
          <w:rFonts w:asciiTheme="minorEastAsia" w:hAnsiTheme="minorEastAsia" w:cs="仿宋_GB2312" w:hint="eastAsia"/>
          <w:sz w:val="32"/>
          <w:szCs w:val="32"/>
        </w:rPr>
        <w:t>请各</w:t>
      </w:r>
      <w:r w:rsidR="00E11442">
        <w:rPr>
          <w:rFonts w:asciiTheme="minorEastAsia" w:hAnsiTheme="minorEastAsia" w:cs="仿宋_GB2312" w:hint="eastAsia"/>
          <w:sz w:val="32"/>
          <w:szCs w:val="32"/>
        </w:rPr>
        <w:t>单位</w:t>
      </w:r>
      <w:r w:rsidRPr="00EA3FD7">
        <w:rPr>
          <w:rFonts w:asciiTheme="minorEastAsia" w:hAnsiTheme="minorEastAsia" w:cs="仿宋_GB2312" w:hint="eastAsia"/>
          <w:sz w:val="32"/>
          <w:szCs w:val="32"/>
        </w:rPr>
        <w:t>结合</w:t>
      </w:r>
      <w:r w:rsidR="00E11442">
        <w:rPr>
          <w:rFonts w:asciiTheme="minorEastAsia" w:hAnsiTheme="minorEastAsia" w:cs="仿宋_GB2312" w:hint="eastAsia"/>
          <w:sz w:val="32"/>
          <w:szCs w:val="32"/>
        </w:rPr>
        <w:t>自身工作实际</w:t>
      </w:r>
      <w:r w:rsidRPr="00EA3FD7">
        <w:rPr>
          <w:rFonts w:asciiTheme="minorEastAsia" w:hAnsiTheme="minorEastAsia" w:cs="仿宋_GB2312" w:hint="eastAsia"/>
          <w:sz w:val="32"/>
          <w:szCs w:val="32"/>
        </w:rPr>
        <w:t>及各自权责分工，对需要</w:t>
      </w:r>
      <w:r w:rsidR="001E75DA">
        <w:rPr>
          <w:rFonts w:asciiTheme="minorEastAsia" w:hAnsiTheme="minorEastAsia" w:cs="仿宋_GB2312" w:hint="eastAsia"/>
          <w:sz w:val="32"/>
          <w:szCs w:val="32"/>
        </w:rPr>
        <w:t>修改、调整的事项提前确认（保留或删除），</w:t>
      </w:r>
      <w:r w:rsidR="00B8121F">
        <w:rPr>
          <w:rFonts w:asciiTheme="minorEastAsia" w:hAnsiTheme="minorEastAsia" w:cs="仿宋_GB2312" w:hint="eastAsia"/>
          <w:sz w:val="32"/>
          <w:szCs w:val="32"/>
        </w:rPr>
        <w:t>以及</w:t>
      </w:r>
      <w:r w:rsidR="001E75DA">
        <w:rPr>
          <w:rFonts w:asciiTheme="minorEastAsia" w:hAnsiTheme="minorEastAsia" w:cs="仿宋_GB2312" w:hint="eastAsia"/>
          <w:sz w:val="32"/>
          <w:szCs w:val="32"/>
        </w:rPr>
        <w:t>提前确定需要与安策公司</w:t>
      </w:r>
      <w:r w:rsidRPr="00EA3FD7">
        <w:rPr>
          <w:rFonts w:asciiTheme="minorEastAsia" w:hAnsiTheme="minorEastAsia" w:cs="仿宋_GB2312" w:hint="eastAsia"/>
          <w:sz w:val="32"/>
          <w:szCs w:val="32"/>
        </w:rPr>
        <w:t>调研人员现场确认的内容</w:t>
      </w:r>
      <w:r w:rsidR="00E11442">
        <w:rPr>
          <w:rFonts w:asciiTheme="minorEastAsia" w:hAnsiTheme="minorEastAsia" w:cs="仿宋_GB2312" w:hint="eastAsia"/>
          <w:sz w:val="32"/>
          <w:szCs w:val="32"/>
        </w:rPr>
        <w:t>，并提前自行打印各自相关材料带至会场</w:t>
      </w:r>
      <w:r w:rsidR="00722337">
        <w:rPr>
          <w:rFonts w:asciiTheme="minorEastAsia" w:hAnsiTheme="minorEastAsia" w:cs="仿宋_GB2312" w:hint="eastAsia"/>
          <w:sz w:val="32"/>
          <w:szCs w:val="32"/>
        </w:rPr>
        <w:t>。</w:t>
      </w:r>
    </w:p>
    <w:p w:rsidR="00722337" w:rsidRDefault="00722337" w:rsidP="00722337">
      <w:pPr>
        <w:ind w:firstLineChars="200" w:firstLine="640"/>
        <w:rPr>
          <w:rFonts w:asciiTheme="minorEastAsia" w:hAnsiTheme="minorEastAsia" w:cs="仿宋_GB2312" w:hint="eastAsia"/>
          <w:sz w:val="32"/>
          <w:szCs w:val="32"/>
        </w:rPr>
      </w:pPr>
    </w:p>
    <w:p w:rsidR="00722337" w:rsidRPr="00EA3FD7" w:rsidRDefault="00722337" w:rsidP="00722337">
      <w:pPr>
        <w:ind w:firstLineChars="200" w:firstLine="640"/>
        <w:rPr>
          <w:rFonts w:asciiTheme="minorEastAsia" w:hAnsiTheme="minorEastAsia" w:cs="仿宋_GB2312"/>
          <w:sz w:val="32"/>
          <w:szCs w:val="32"/>
        </w:rPr>
      </w:pPr>
      <w:r w:rsidRPr="00B8121F">
        <w:rPr>
          <w:rFonts w:asciiTheme="minorEastAsia" w:hAnsiTheme="minorEastAsia" w:cs="仿宋_GB2312" w:hint="eastAsia"/>
          <w:sz w:val="32"/>
          <w:szCs w:val="32"/>
        </w:rPr>
        <w:t>联系人：安策智库陈主任（</w:t>
      </w:r>
      <w:r w:rsidRPr="00B8121F">
        <w:rPr>
          <w:rFonts w:asciiTheme="minorEastAsia" w:hAnsiTheme="minorEastAsia" w:cs="仿宋_GB2312"/>
          <w:sz w:val="32"/>
          <w:szCs w:val="32"/>
        </w:rPr>
        <w:t>18055186219</w:t>
      </w:r>
      <w:r w:rsidRPr="00B8121F">
        <w:rPr>
          <w:rFonts w:asciiTheme="minorEastAsia" w:hAnsiTheme="minorEastAsia" w:cs="仿宋_GB2312" w:hint="eastAsia"/>
          <w:sz w:val="32"/>
          <w:szCs w:val="32"/>
        </w:rPr>
        <w:t>）</w:t>
      </w:r>
    </w:p>
    <w:p w:rsidR="00722337" w:rsidRDefault="00722337" w:rsidP="006E1E3D">
      <w:pPr>
        <w:spacing w:line="560" w:lineRule="exact"/>
        <w:ind w:firstLine="645"/>
        <w:rPr>
          <w:rFonts w:asciiTheme="minorEastAsia" w:hAnsiTheme="minorEastAsia" w:cs="仿宋_GB2312" w:hint="eastAsia"/>
          <w:sz w:val="32"/>
          <w:szCs w:val="32"/>
        </w:rPr>
      </w:pPr>
    </w:p>
    <w:p w:rsidR="00A96F35" w:rsidRPr="00722337" w:rsidRDefault="00A96F35" w:rsidP="006E1E3D">
      <w:pPr>
        <w:spacing w:line="560" w:lineRule="exact"/>
        <w:ind w:firstLine="645"/>
        <w:rPr>
          <w:rFonts w:asciiTheme="minorEastAsia" w:hAnsiTheme="minorEastAsia" w:cs="仿宋_GB2312"/>
          <w:b/>
          <w:sz w:val="32"/>
          <w:szCs w:val="32"/>
        </w:rPr>
      </w:pPr>
      <w:r w:rsidRPr="00722337">
        <w:rPr>
          <w:rFonts w:asciiTheme="minorEastAsia" w:hAnsiTheme="minorEastAsia" w:cs="仿宋_GB2312" w:hint="eastAsia"/>
          <w:b/>
          <w:sz w:val="32"/>
          <w:szCs w:val="32"/>
        </w:rPr>
        <w:t>本工作</w:t>
      </w:r>
      <w:r w:rsidR="00132EE1" w:rsidRPr="00722337">
        <w:rPr>
          <w:rFonts w:asciiTheme="minorEastAsia" w:hAnsiTheme="minorEastAsia" w:cs="仿宋_GB2312" w:hint="eastAsia"/>
          <w:b/>
          <w:sz w:val="32"/>
          <w:szCs w:val="32"/>
        </w:rPr>
        <w:t>将</w:t>
      </w:r>
      <w:r w:rsidRPr="00722337">
        <w:rPr>
          <w:rFonts w:asciiTheme="minorEastAsia" w:hAnsiTheme="minorEastAsia" w:cs="仿宋_GB2312" w:hint="eastAsia"/>
          <w:b/>
          <w:sz w:val="32"/>
          <w:szCs w:val="32"/>
        </w:rPr>
        <w:t>纳入各单位年度绩效考核，请各单位务必高度重视。</w:t>
      </w:r>
    </w:p>
    <w:p w:rsidR="00B8121F" w:rsidRDefault="00B8121F" w:rsidP="00E00FB0">
      <w:pPr>
        <w:ind w:firstLineChars="50" w:firstLine="160"/>
        <w:rPr>
          <w:rFonts w:asciiTheme="minorEastAsia" w:hAnsiTheme="minorEastAsia" w:cs="仿宋_GB2312" w:hint="eastAsia"/>
          <w:sz w:val="32"/>
          <w:szCs w:val="32"/>
        </w:rPr>
      </w:pPr>
    </w:p>
    <w:p w:rsidR="006E1E3D" w:rsidRPr="00EA3FD7" w:rsidRDefault="006E1E3D" w:rsidP="00E00FB0">
      <w:pPr>
        <w:ind w:firstLineChars="50" w:firstLine="160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>附件:基层政务公开“两化”调研安排</w:t>
      </w: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722337">
      <w:pPr>
        <w:spacing w:line="560" w:lineRule="exact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                       </w:t>
      </w:r>
      <w:r w:rsidR="00143DFE">
        <w:rPr>
          <w:rFonts w:asciiTheme="minorEastAsia" w:hAnsiTheme="minorEastAsia" w:cs="仿宋_GB2312"/>
          <w:sz w:val="32"/>
          <w:szCs w:val="32"/>
        </w:rPr>
        <w:t xml:space="preserve"> </w:t>
      </w: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县政府办</w:t>
      </w: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  <w:r w:rsidRPr="00EA3FD7">
        <w:rPr>
          <w:rFonts w:asciiTheme="minorEastAsia" w:hAnsiTheme="minorEastAsia" w:cs="仿宋_GB2312" w:hint="eastAsia"/>
          <w:sz w:val="32"/>
          <w:szCs w:val="32"/>
        </w:rPr>
        <w:t xml:space="preserve">                          2020年12月18日</w:t>
      </w: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132EE1" w:rsidRPr="00EA3FD7" w:rsidRDefault="00132EE1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6E1E3D" w:rsidRPr="00EA3FD7" w:rsidRDefault="006E1E3D" w:rsidP="006E1E3D">
      <w:pPr>
        <w:spacing w:line="560" w:lineRule="exact"/>
        <w:ind w:firstLine="645"/>
        <w:rPr>
          <w:rFonts w:asciiTheme="minorEastAsia" w:hAnsiTheme="minorEastAsia" w:cs="仿宋_GB2312"/>
          <w:sz w:val="32"/>
          <w:szCs w:val="32"/>
        </w:rPr>
      </w:pPr>
    </w:p>
    <w:p w:rsidR="008920A0" w:rsidRDefault="008920A0" w:rsidP="006E1E3D">
      <w:pPr>
        <w:rPr>
          <w:sz w:val="32"/>
          <w:szCs w:val="32"/>
        </w:rPr>
      </w:pPr>
    </w:p>
    <w:p w:rsidR="004F5986" w:rsidRDefault="006E1E3D" w:rsidP="0053317A">
      <w:pPr>
        <w:rPr>
          <w:sz w:val="32"/>
          <w:szCs w:val="32"/>
        </w:rPr>
      </w:pPr>
      <w:r w:rsidRPr="006F7608">
        <w:rPr>
          <w:rFonts w:hint="eastAsia"/>
          <w:sz w:val="32"/>
          <w:szCs w:val="32"/>
        </w:rPr>
        <w:lastRenderedPageBreak/>
        <w:t>附件</w:t>
      </w:r>
      <w:r w:rsidR="0053317A">
        <w:rPr>
          <w:rFonts w:hint="eastAsia"/>
          <w:sz w:val="32"/>
          <w:szCs w:val="32"/>
        </w:rPr>
        <w:t xml:space="preserve">     </w:t>
      </w:r>
    </w:p>
    <w:p w:rsidR="006E1E3D" w:rsidRPr="0053317A" w:rsidRDefault="006E1E3D" w:rsidP="004F5986">
      <w:pPr>
        <w:jc w:val="center"/>
        <w:rPr>
          <w:sz w:val="32"/>
          <w:szCs w:val="32"/>
        </w:rPr>
      </w:pPr>
      <w:r w:rsidRPr="0012656E">
        <w:rPr>
          <w:rFonts w:hint="eastAsia"/>
          <w:b/>
          <w:sz w:val="44"/>
          <w:szCs w:val="44"/>
        </w:rPr>
        <w:t>基层政务公开“两化”调研安排</w:t>
      </w:r>
    </w:p>
    <w:p w:rsidR="006E1E3D" w:rsidRDefault="006E1E3D" w:rsidP="006E1E3D">
      <w:pPr>
        <w:pStyle w:val="2"/>
      </w:pPr>
    </w:p>
    <w:tbl>
      <w:tblPr>
        <w:tblW w:w="8515" w:type="dxa"/>
        <w:tblCellMar>
          <w:left w:w="0" w:type="dxa"/>
          <w:right w:w="0" w:type="dxa"/>
        </w:tblCellMar>
        <w:tblLook w:val="04A0"/>
      </w:tblPr>
      <w:tblGrid>
        <w:gridCol w:w="1640"/>
        <w:gridCol w:w="3333"/>
        <w:gridCol w:w="3542"/>
      </w:tblGrid>
      <w:tr w:rsidR="006E1E3D" w:rsidRPr="00B23E48" w:rsidTr="00B23E48">
        <w:trPr>
          <w:trHeight w:val="2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32"/>
              </w:rPr>
            </w:pPr>
            <w:r w:rsidRPr="00B23E48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32"/>
              </w:rPr>
              <w:t>调研时间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32"/>
              </w:rPr>
            </w:pPr>
            <w:r w:rsidRPr="00B23E48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32"/>
              </w:rPr>
              <w:t>参与部门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32"/>
              </w:rPr>
            </w:pPr>
            <w:r w:rsidRPr="00B23E48"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32"/>
              </w:rPr>
              <w:t>涉及领域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上午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9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点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-10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县公安局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户籍管理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县应急局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安全生产、救灾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AD42D6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县市</w:t>
            </w:r>
            <w:r w:rsidR="00AD42D6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监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食品药品监管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县税务局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税收管理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上午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10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点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-11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点</w:t>
            </w: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30</w:t>
            </w: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分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县生态环境局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生态环境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县财政局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财政预决算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县文广</w:t>
            </w:r>
            <w:r w:rsidR="00AD42D6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新旅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公共文化服务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县司法局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公共法律服务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县卫健委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卫生健康领域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下午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2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点</w:t>
            </w:r>
            <w:r w:rsidRPr="00B23E48"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  <w:t>-3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县住建局、</w:t>
            </w:r>
            <w:r w:rsidR="00AD42D6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自然资源局、</w:t>
            </w:r>
            <w:r w:rsidR="00AD42D6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城管局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市政服务、城市综合执法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县住建局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4F5986">
              <w:rPr>
                <w:rFonts w:ascii="宋体" w:hAnsi="宋体" w:hint="eastAsia"/>
                <w:color w:val="000000"/>
                <w:kern w:val="0"/>
                <w:sz w:val="24"/>
                <w:szCs w:val="32"/>
              </w:rPr>
              <w:t>保障性住房、国有土地上房屋征收与补偿、农村危房改造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县教体局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义务教育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下午</w:t>
            </w: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3</w:t>
            </w: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点</w:t>
            </w: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-4</w:t>
            </w:r>
            <w:r w:rsidRPr="00B23E48">
              <w:rPr>
                <w:rFonts w:ascii="Times New Roman" w:hAnsi="Times New Roman" w:cs="Times New Roman" w:hint="eastAsia"/>
                <w:color w:val="000000"/>
                <w:kern w:val="0"/>
                <w:sz w:val="28"/>
                <w:szCs w:val="32"/>
              </w:rPr>
              <w:t>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A35CEF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县民政局、</w:t>
            </w:r>
            <w:r w:rsidR="0053317A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医保局、</w:t>
            </w:r>
          </w:p>
          <w:p w:rsidR="006E1E3D" w:rsidRPr="00B23E48" w:rsidRDefault="0053317A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="006E1E3D"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住建局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社会救助、养老服务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县人社局、</w:t>
            </w:r>
            <w:r w:rsidR="00AD42D6">
              <w:rPr>
                <w:rFonts w:hint="eastAsia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医保局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就业、社会保险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sz w:val="28"/>
                <w:szCs w:val="32"/>
              </w:rPr>
            </w:pPr>
            <w:r w:rsidRPr="00B23E48">
              <w:rPr>
                <w:rFonts w:hint="eastAsia"/>
                <w:sz w:val="28"/>
                <w:szCs w:val="32"/>
              </w:rPr>
              <w:t>县农业农村局、</w:t>
            </w:r>
            <w:r w:rsidR="00AD42D6">
              <w:rPr>
                <w:rFonts w:hint="eastAsia"/>
                <w:sz w:val="28"/>
                <w:szCs w:val="32"/>
              </w:rPr>
              <w:t>县</w:t>
            </w:r>
            <w:r w:rsidRPr="00B23E48">
              <w:rPr>
                <w:rFonts w:hint="eastAsia"/>
                <w:sz w:val="28"/>
                <w:szCs w:val="32"/>
              </w:rPr>
              <w:t>民政局等扶贫相关部门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涉农补贴、扶贫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  <w:r w:rsidRPr="00B23E48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lastRenderedPageBreak/>
              <w:t>下午</w:t>
            </w:r>
            <w:r w:rsidRPr="00B23E48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4</w:t>
            </w:r>
            <w:r w:rsidRPr="00B23E48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点</w:t>
            </w:r>
            <w:r w:rsidRPr="00B23E48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-5</w:t>
            </w:r>
            <w:r w:rsidRPr="00B23E48">
              <w:rPr>
                <w:rFonts w:ascii="Times New Roman" w:hAnsi="Times New Roman" w:cs="Times New Roman" w:hint="eastAsia"/>
                <w:color w:val="000000"/>
                <w:sz w:val="28"/>
                <w:szCs w:val="32"/>
              </w:rPr>
              <w:t>点半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F5986" w:rsidRDefault="006E1E3D" w:rsidP="005331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县发改委、</w:t>
            </w:r>
            <w:r w:rsidR="0053317A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县科工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局、自然资源局、</w:t>
            </w:r>
            <w:r w:rsidR="0053317A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生态环境局、</w:t>
            </w:r>
          </w:p>
          <w:p w:rsidR="006E1E3D" w:rsidRPr="00B23E48" w:rsidRDefault="0053317A" w:rsidP="0053317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="006E1E3D"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农业农村局、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="006E1E3D"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水利局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重大建设项目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县自然资源局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城乡规划、农村集体土地征收</w:t>
            </w:r>
          </w:p>
        </w:tc>
      </w:tr>
      <w:tr w:rsidR="006E1E3D" w:rsidRPr="00B23E48" w:rsidTr="00B23E48">
        <w:trPr>
          <w:trHeight w:val="20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6B69D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县行政</w:t>
            </w:r>
            <w:r w:rsidR="006B69DB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审批局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、</w:t>
            </w:r>
            <w:r w:rsidR="006B69DB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发改委、</w:t>
            </w:r>
            <w:r w:rsidR="006B69DB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县</w:t>
            </w: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财政局等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E1E3D" w:rsidRPr="00B23E48" w:rsidRDefault="006E1E3D" w:rsidP="00830B8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32"/>
              </w:rPr>
            </w:pPr>
            <w:r w:rsidRPr="00B23E48">
              <w:rPr>
                <w:rFonts w:ascii="宋体" w:hAnsi="宋体" w:hint="eastAsia"/>
                <w:color w:val="000000"/>
                <w:kern w:val="0"/>
                <w:sz w:val="28"/>
                <w:szCs w:val="32"/>
              </w:rPr>
              <w:t>公共资源交易</w:t>
            </w:r>
          </w:p>
        </w:tc>
      </w:tr>
    </w:tbl>
    <w:p w:rsidR="006E1E3D" w:rsidRDefault="006E1E3D" w:rsidP="006E1E3D">
      <w:pPr>
        <w:pStyle w:val="2"/>
      </w:pPr>
    </w:p>
    <w:p w:rsidR="006E1E3D" w:rsidRDefault="006E1E3D" w:rsidP="006E1E3D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sectPr w:rsidR="006E1E3D" w:rsidSect="005409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95" w:rsidRDefault="00F13995" w:rsidP="00DD057F">
      <w:r>
        <w:separator/>
      </w:r>
    </w:p>
  </w:endnote>
  <w:endnote w:type="continuationSeparator" w:id="0">
    <w:p w:rsidR="00F13995" w:rsidRDefault="00F13995" w:rsidP="00DD0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6342"/>
      <w:docPartObj>
        <w:docPartGallery w:val="Page Numbers (Bottom of Page)"/>
        <w:docPartUnique/>
      </w:docPartObj>
    </w:sdtPr>
    <w:sdtContent>
      <w:p w:rsidR="00C56FCE" w:rsidRDefault="00622DF5">
        <w:pPr>
          <w:pStyle w:val="a4"/>
          <w:jc w:val="right"/>
        </w:pPr>
        <w:fldSimple w:instr=" PAGE   \* MERGEFORMAT ">
          <w:r w:rsidR="00B051CA" w:rsidRPr="00B051CA">
            <w:rPr>
              <w:noProof/>
              <w:lang w:val="zh-CN"/>
            </w:rPr>
            <w:t>1</w:t>
          </w:r>
        </w:fldSimple>
      </w:p>
    </w:sdtContent>
  </w:sdt>
  <w:p w:rsidR="00C56FCE" w:rsidRDefault="00C56F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95" w:rsidRDefault="00F13995" w:rsidP="00DD057F">
      <w:r>
        <w:separator/>
      </w:r>
    </w:p>
  </w:footnote>
  <w:footnote w:type="continuationSeparator" w:id="0">
    <w:p w:rsidR="00F13995" w:rsidRDefault="00F13995" w:rsidP="00DD0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9CC"/>
    <w:rsid w:val="000F2B3C"/>
    <w:rsid w:val="00106F24"/>
    <w:rsid w:val="00132EE1"/>
    <w:rsid w:val="00143DFE"/>
    <w:rsid w:val="001E75DA"/>
    <w:rsid w:val="00260963"/>
    <w:rsid w:val="003B2A59"/>
    <w:rsid w:val="004E40DA"/>
    <w:rsid w:val="004E665F"/>
    <w:rsid w:val="004F5986"/>
    <w:rsid w:val="0053317A"/>
    <w:rsid w:val="005409CC"/>
    <w:rsid w:val="00584C1F"/>
    <w:rsid w:val="005E13C9"/>
    <w:rsid w:val="00622DF5"/>
    <w:rsid w:val="006B69DB"/>
    <w:rsid w:val="006E1E3D"/>
    <w:rsid w:val="006F7608"/>
    <w:rsid w:val="00722337"/>
    <w:rsid w:val="007640C4"/>
    <w:rsid w:val="007A4A44"/>
    <w:rsid w:val="00816844"/>
    <w:rsid w:val="008920A0"/>
    <w:rsid w:val="008A7E65"/>
    <w:rsid w:val="00A35CEF"/>
    <w:rsid w:val="00A96F35"/>
    <w:rsid w:val="00AD42D6"/>
    <w:rsid w:val="00B051CA"/>
    <w:rsid w:val="00B23E48"/>
    <w:rsid w:val="00B8121F"/>
    <w:rsid w:val="00C56FCE"/>
    <w:rsid w:val="00CC5628"/>
    <w:rsid w:val="00DD057F"/>
    <w:rsid w:val="00E00FB0"/>
    <w:rsid w:val="00E11442"/>
    <w:rsid w:val="00E906AD"/>
    <w:rsid w:val="00E962E8"/>
    <w:rsid w:val="00EA3FD7"/>
    <w:rsid w:val="00F0684B"/>
    <w:rsid w:val="00F13995"/>
    <w:rsid w:val="00F271D2"/>
    <w:rsid w:val="00FB5436"/>
    <w:rsid w:val="04B13032"/>
    <w:rsid w:val="07061791"/>
    <w:rsid w:val="07247ABE"/>
    <w:rsid w:val="091B022A"/>
    <w:rsid w:val="11523DC8"/>
    <w:rsid w:val="165C29B3"/>
    <w:rsid w:val="1B8D70EF"/>
    <w:rsid w:val="22F52CCB"/>
    <w:rsid w:val="25110189"/>
    <w:rsid w:val="2D54758D"/>
    <w:rsid w:val="30DD29EE"/>
    <w:rsid w:val="30DF0D19"/>
    <w:rsid w:val="34E92F22"/>
    <w:rsid w:val="36D2328C"/>
    <w:rsid w:val="3EE234C7"/>
    <w:rsid w:val="414D71F1"/>
    <w:rsid w:val="43554E55"/>
    <w:rsid w:val="47F66C89"/>
    <w:rsid w:val="4FA87D4D"/>
    <w:rsid w:val="50006FDB"/>
    <w:rsid w:val="578A10F3"/>
    <w:rsid w:val="58673E64"/>
    <w:rsid w:val="5D033243"/>
    <w:rsid w:val="602E5C28"/>
    <w:rsid w:val="624E2636"/>
    <w:rsid w:val="661A5A21"/>
    <w:rsid w:val="67D96989"/>
    <w:rsid w:val="6F0001D2"/>
    <w:rsid w:val="78AA32CC"/>
    <w:rsid w:val="7CF1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5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D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57F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6E1E3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6E1E3D"/>
    <w:rPr>
      <w:kern w:val="2"/>
      <w:sz w:val="21"/>
      <w:szCs w:val="24"/>
    </w:rPr>
  </w:style>
  <w:style w:type="paragraph" w:styleId="2">
    <w:name w:val="Body Text First Indent 2"/>
    <w:basedOn w:val="a5"/>
    <w:link w:val="2Char"/>
    <w:qFormat/>
    <w:rsid w:val="006E1E3D"/>
    <w:pPr>
      <w:spacing w:after="0"/>
      <w:ind w:firstLineChars="200" w:firstLine="420"/>
    </w:pPr>
    <w:rPr>
      <w:rFonts w:ascii="Calibri" w:eastAsia="宋体" w:hAnsi="Calibri" w:cs="宋体"/>
    </w:rPr>
  </w:style>
  <w:style w:type="character" w:customStyle="1" w:styleId="2Char">
    <w:name w:val="正文首行缩进 2 Char"/>
    <w:basedOn w:val="Char1"/>
    <w:link w:val="2"/>
    <w:rsid w:val="006E1E3D"/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41065</dc:creator>
  <cp:lastModifiedBy>迪创科技</cp:lastModifiedBy>
  <cp:revision>30</cp:revision>
  <dcterms:created xsi:type="dcterms:W3CDTF">2020-11-03T02:36:00Z</dcterms:created>
  <dcterms:modified xsi:type="dcterms:W3CDTF">2020-12-18T02:45:00Z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