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s="黑体"/>
          <w:kern w:val="44"/>
          <w:sz w:val="32"/>
          <w:szCs w:val="32"/>
        </w:rPr>
      </w:pPr>
      <w:bookmarkStart w:id="0" w:name="_Hlk75614401"/>
      <w:r>
        <w:rPr>
          <w:rFonts w:hint="eastAsia" w:ascii="Times New Roman" w:hAnsi="Times New Roman" w:eastAsia="黑体" w:cs="黑体"/>
          <w:kern w:val="44"/>
          <w:sz w:val="32"/>
          <w:szCs w:val="32"/>
        </w:rPr>
        <w:t>南昌县</w:t>
      </w:r>
      <w:bookmarkEnd w:id="0"/>
      <w:r>
        <w:rPr>
          <w:rFonts w:hint="eastAsia" w:ascii="Times New Roman" w:hAnsi="Times New Roman" w:eastAsia="黑体" w:cs="黑体"/>
          <w:kern w:val="44"/>
          <w:sz w:val="32"/>
          <w:szCs w:val="32"/>
        </w:rPr>
        <w:t>向塘片区土地征收成片开发方案</w:t>
      </w:r>
    </w:p>
    <w:p>
      <w:pPr>
        <w:jc w:val="center"/>
        <w:rPr>
          <w:rFonts w:ascii="Times New Roman" w:hAnsi="Times New Roman" w:eastAsia="黑体" w:cs="黑体"/>
          <w:kern w:val="44"/>
          <w:sz w:val="32"/>
          <w:szCs w:val="32"/>
        </w:rPr>
      </w:pPr>
      <w:r>
        <w:rPr>
          <w:rFonts w:hint="eastAsia" w:ascii="Times New Roman" w:hAnsi="Times New Roman" w:eastAsia="黑体" w:cs="黑体"/>
          <w:kern w:val="44"/>
          <w:sz w:val="32"/>
          <w:szCs w:val="32"/>
        </w:rPr>
        <w:t>（草案</w:t>
      </w:r>
      <w:r>
        <w:rPr>
          <w:rFonts w:ascii="Times New Roman" w:hAnsi="Times New Roman" w:eastAsia="黑体" w:cs="黑体"/>
          <w:kern w:val="44"/>
          <w:sz w:val="32"/>
          <w:szCs w:val="32"/>
        </w:rPr>
        <w:t>）</w:t>
      </w:r>
    </w:p>
    <w:p>
      <w:pPr>
        <w:jc w:val="center"/>
        <w:rPr>
          <w:rFonts w:ascii="Times New Roman" w:hAnsi="Times New Roman" w:eastAsia="黑体" w:cs="黑体"/>
          <w:kern w:val="44"/>
          <w:sz w:val="32"/>
          <w:szCs w:val="32"/>
        </w:rPr>
      </w:pPr>
    </w:p>
    <w:p>
      <w:pPr>
        <w:autoSpaceDE w:val="0"/>
        <w:autoSpaceDN w:val="0"/>
        <w:adjustRightInd w:val="0"/>
        <w:ind w:firstLine="560" w:firstLineChars="200"/>
        <w:rPr>
          <w:rFonts w:ascii="Times New Roman" w:hAnsi="Times New Roman" w:eastAsia="仿宋_GB2312" w:cs="仿宋_GB2312"/>
          <w:kern w:val="0"/>
          <w:sz w:val="28"/>
          <w:szCs w:val="28"/>
        </w:rPr>
      </w:pPr>
      <w:r>
        <w:rPr>
          <w:rFonts w:hint="eastAsia" w:ascii="Times New Roman" w:hAnsi="Times New Roman" w:eastAsia="仿宋_GB2312" w:cs="仿宋_GB2312"/>
          <w:kern w:val="0"/>
          <w:sz w:val="28"/>
          <w:szCs w:val="28"/>
        </w:rPr>
        <w:t>根据新《土地管理法》、</w:t>
      </w:r>
      <w:r>
        <w:rPr>
          <w:rFonts w:hint="eastAsia" w:ascii="Times New Roman" w:hAnsi="Times New Roman" w:eastAsia="仿宋_GB2312" w:cs="Times New Roman"/>
          <w:sz w:val="28"/>
          <w:szCs w:val="28"/>
        </w:rPr>
        <w:t>《自然资源部关于印发&lt;土地征收成片开发标准（试行）&gt;的通知》（自然资规〔2020〕5号）</w:t>
      </w:r>
      <w:r>
        <w:rPr>
          <w:rFonts w:hint="eastAsia" w:ascii="Times New Roman" w:hAnsi="Times New Roman" w:eastAsia="仿宋_GB2312" w:cs="仿宋_GB2312"/>
          <w:kern w:val="0"/>
          <w:sz w:val="28"/>
          <w:szCs w:val="28"/>
        </w:rPr>
        <w:t>以及《江西省人民政府办公厅关于执行土地征收成片开发标准</w:t>
      </w:r>
      <w:r>
        <w:rPr>
          <w:rFonts w:ascii="Times New Roman" w:hAnsi="Times New Roman" w:eastAsia="仿宋_GB2312" w:cs="仿宋_GB2312"/>
          <w:kern w:val="0"/>
          <w:sz w:val="28"/>
          <w:szCs w:val="28"/>
        </w:rPr>
        <w:t>(试行)的指导意见</w:t>
      </w:r>
      <w:r>
        <w:rPr>
          <w:rFonts w:hint="eastAsia" w:ascii="Times New Roman" w:hAnsi="Times New Roman" w:eastAsia="仿宋_GB2312" w:cs="仿宋_GB2312"/>
          <w:kern w:val="0"/>
          <w:sz w:val="28"/>
          <w:szCs w:val="28"/>
        </w:rPr>
        <w:t>》（赣府厅发〔</w:t>
      </w:r>
      <w:r>
        <w:rPr>
          <w:rFonts w:ascii="Times New Roman" w:hAnsi="Times New Roman" w:eastAsia="仿宋_GB2312" w:cs="仿宋_GB2312"/>
          <w:kern w:val="0"/>
          <w:sz w:val="28"/>
          <w:szCs w:val="28"/>
        </w:rPr>
        <w:t>2021〕2号）相关规定和要求，</w:t>
      </w:r>
      <w:r>
        <w:rPr>
          <w:rFonts w:hint="eastAsia" w:ascii="Times New Roman" w:hAnsi="Times New Roman" w:eastAsia="仿宋_GB2312" w:cs="仿宋_GB2312"/>
          <w:kern w:val="0"/>
          <w:sz w:val="28"/>
          <w:szCs w:val="28"/>
        </w:rPr>
        <w:t>南昌县人民政府组织编制了《南昌县向塘片区土地征收成片开发方案（</w:t>
      </w:r>
      <w:r>
        <w:rPr>
          <w:rFonts w:ascii="Times New Roman" w:hAnsi="Times New Roman" w:eastAsia="仿宋_GB2312" w:cs="仿宋_GB2312"/>
          <w:kern w:val="0"/>
          <w:sz w:val="28"/>
          <w:szCs w:val="28"/>
        </w:rPr>
        <w:t>2021-2022年）</w:t>
      </w:r>
      <w:r>
        <w:rPr>
          <w:rFonts w:hint="eastAsia" w:ascii="Times New Roman" w:hAnsi="Times New Roman" w:eastAsia="仿宋_GB2312" w:cs="仿宋_GB2312"/>
          <w:kern w:val="0"/>
          <w:sz w:val="28"/>
          <w:szCs w:val="28"/>
        </w:rPr>
        <w:t>》。</w:t>
      </w:r>
    </w:p>
    <w:p>
      <w:pPr>
        <w:pStyle w:val="2"/>
        <w:spacing w:line="240" w:lineRule="auto"/>
        <w:ind w:left="0" w:firstLine="640" w:firstLineChars="200"/>
        <w:rPr>
          <w:rFonts w:ascii="Times New Roman" w:hAnsi="Times New Roman" w:eastAsia="黑体"/>
          <w:b w:val="0"/>
          <w:bCs w:val="0"/>
          <w:sz w:val="32"/>
          <w:szCs w:val="32"/>
        </w:rPr>
      </w:pPr>
      <w:r>
        <w:rPr>
          <w:rFonts w:hint="eastAsia" w:ascii="Times New Roman" w:hAnsi="Times New Roman" w:eastAsia="黑体"/>
          <w:b w:val="0"/>
          <w:bCs w:val="0"/>
          <w:sz w:val="32"/>
          <w:szCs w:val="32"/>
        </w:rPr>
        <w:t>一、编制依据</w:t>
      </w:r>
    </w:p>
    <w:p>
      <w:pPr>
        <w:autoSpaceDE w:val="0"/>
        <w:autoSpaceDN w:val="0"/>
        <w:adjustRightInd w:val="0"/>
        <w:ind w:firstLine="560"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仿宋_GB2312"/>
          <w:kern w:val="0"/>
          <w:sz w:val="28"/>
          <w:szCs w:val="28"/>
          <w:lang w:val="en-US" w:eastAsia="zh-CN"/>
        </w:rPr>
        <w:t>1、</w:t>
      </w:r>
      <w:r>
        <w:rPr>
          <w:rFonts w:hint="eastAsia" w:ascii="Times New Roman" w:hAnsi="Times New Roman" w:eastAsia="仿宋_GB2312" w:cs="Times New Roman"/>
          <w:sz w:val="28"/>
          <w:szCs w:val="28"/>
        </w:rPr>
        <w:t>《自然资源部关于印发&lt;土地征收成片开发标准（试行）&gt;的通知》（自然资规〔2020〕5号）</w:t>
      </w:r>
      <w:r>
        <w:rPr>
          <w:rFonts w:hint="eastAsia" w:ascii="Times New Roman" w:hAnsi="Times New Roman" w:eastAsia="仿宋_GB2312" w:cs="Times New Roman"/>
          <w:sz w:val="28"/>
          <w:szCs w:val="28"/>
          <w:lang w:eastAsia="zh-CN"/>
        </w:rPr>
        <w:t>；</w:t>
      </w:r>
    </w:p>
    <w:p>
      <w:pPr>
        <w:autoSpaceDE w:val="0"/>
        <w:autoSpaceDN w:val="0"/>
        <w:adjustRightInd w:val="0"/>
        <w:ind w:firstLine="560" w:firstLineChars="200"/>
        <w:rPr>
          <w:rFonts w:hint="eastAsia" w:ascii="Times New Roman" w:hAnsi="Times New Roman" w:eastAsia="仿宋_GB2312" w:cs="仿宋_GB2312"/>
          <w:kern w:val="0"/>
          <w:sz w:val="28"/>
          <w:szCs w:val="28"/>
          <w:lang w:eastAsia="zh-CN"/>
        </w:rPr>
      </w:pPr>
      <w:r>
        <w:rPr>
          <w:rFonts w:hint="eastAsia" w:ascii="Times New Roman" w:hAnsi="Times New Roman" w:eastAsia="仿宋_GB2312" w:cs="Times New Roman"/>
          <w:sz w:val="28"/>
          <w:szCs w:val="28"/>
          <w:lang w:val="en-US" w:eastAsia="zh-CN"/>
        </w:rPr>
        <w:t>2、</w:t>
      </w:r>
      <w:r>
        <w:rPr>
          <w:rFonts w:hint="eastAsia" w:ascii="Times New Roman" w:hAnsi="Times New Roman" w:eastAsia="仿宋_GB2312" w:cs="仿宋_GB2312"/>
          <w:kern w:val="0"/>
          <w:sz w:val="28"/>
          <w:szCs w:val="28"/>
        </w:rPr>
        <w:t>《江西省人民政府办公厅关于执行土地征收成片开发标准</w:t>
      </w:r>
      <w:r>
        <w:rPr>
          <w:rFonts w:ascii="Times New Roman" w:hAnsi="Times New Roman" w:eastAsia="仿宋_GB2312" w:cs="仿宋_GB2312"/>
          <w:kern w:val="0"/>
          <w:sz w:val="28"/>
          <w:szCs w:val="28"/>
        </w:rPr>
        <w:t>(试行)的指导意见</w:t>
      </w:r>
      <w:r>
        <w:rPr>
          <w:rFonts w:hint="eastAsia" w:ascii="Times New Roman" w:hAnsi="Times New Roman" w:eastAsia="仿宋_GB2312" w:cs="仿宋_GB2312"/>
          <w:kern w:val="0"/>
          <w:sz w:val="28"/>
          <w:szCs w:val="28"/>
        </w:rPr>
        <w:t>》（赣府厅发〔</w:t>
      </w:r>
      <w:r>
        <w:rPr>
          <w:rFonts w:ascii="Times New Roman" w:hAnsi="Times New Roman" w:eastAsia="仿宋_GB2312" w:cs="仿宋_GB2312"/>
          <w:kern w:val="0"/>
          <w:sz w:val="28"/>
          <w:szCs w:val="28"/>
        </w:rPr>
        <w:t>2021〕2号）</w:t>
      </w:r>
      <w:r>
        <w:rPr>
          <w:rFonts w:hint="eastAsia" w:ascii="Times New Roman" w:hAnsi="Times New Roman" w:eastAsia="仿宋_GB2312" w:cs="仿宋_GB2312"/>
          <w:kern w:val="0"/>
          <w:sz w:val="28"/>
          <w:szCs w:val="28"/>
          <w:lang w:eastAsia="zh-CN"/>
        </w:rPr>
        <w:t>；</w:t>
      </w:r>
    </w:p>
    <w:p>
      <w:pPr>
        <w:autoSpaceDE w:val="0"/>
        <w:autoSpaceDN w:val="0"/>
        <w:adjustRightInd w:val="0"/>
        <w:ind w:firstLine="560"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仿宋_GB2312"/>
          <w:kern w:val="0"/>
          <w:sz w:val="28"/>
          <w:szCs w:val="28"/>
          <w:lang w:val="en-US" w:eastAsia="zh-CN"/>
        </w:rPr>
        <w:t>3、</w:t>
      </w:r>
      <w:r>
        <w:rPr>
          <w:rFonts w:hint="eastAsia" w:ascii="Times New Roman" w:hAnsi="Times New Roman" w:eastAsia="仿宋_GB2312" w:cs="仿宋_GB2312"/>
          <w:sz w:val="28"/>
          <w:szCs w:val="28"/>
        </w:rPr>
        <w:t>《江西省自然资源厅办公室关于印发土地征收成片开发方案审批指南（试行）的通知》（赣自然资办发〔</w:t>
      </w:r>
      <w:r>
        <w:rPr>
          <w:rFonts w:ascii="Times New Roman" w:hAnsi="Times New Roman" w:eastAsia="仿宋_GB2312" w:cs="仿宋_GB2312"/>
          <w:sz w:val="28"/>
          <w:szCs w:val="28"/>
        </w:rPr>
        <w:t>2021</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30</w:t>
      </w:r>
      <w:r>
        <w:rPr>
          <w:rFonts w:hint="eastAsia" w:ascii="Times New Roman" w:hAnsi="Times New Roman" w:eastAsia="仿宋_GB2312" w:cs="仿宋_GB2312"/>
          <w:sz w:val="28"/>
          <w:szCs w:val="28"/>
        </w:rPr>
        <w:t>号）</w:t>
      </w:r>
      <w:r>
        <w:rPr>
          <w:rFonts w:hint="eastAsia" w:ascii="Times New Roman" w:hAnsi="Times New Roman" w:eastAsia="仿宋_GB2312" w:cs="Times New Roman"/>
          <w:sz w:val="28"/>
          <w:szCs w:val="28"/>
          <w:lang w:eastAsia="zh-CN"/>
        </w:rPr>
        <w:t>；</w:t>
      </w:r>
    </w:p>
    <w:p>
      <w:pPr>
        <w:autoSpaceDE w:val="0"/>
        <w:autoSpaceDN w:val="0"/>
        <w:adjustRightInd w:val="0"/>
        <w:ind w:firstLine="560"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rPr>
        <w:t>《南昌市自然资源局关于印发土地征收成片开发方案审查办理指南（试行）的通知》（洪自然资办字〔</w:t>
      </w:r>
      <w:r>
        <w:rPr>
          <w:rFonts w:ascii="Times New Roman" w:hAnsi="Times New Roman" w:eastAsia="仿宋_GB2312" w:cs="Times New Roman"/>
          <w:sz w:val="28"/>
          <w:szCs w:val="28"/>
        </w:rPr>
        <w:t>2021〕98号）</w:t>
      </w:r>
      <w:r>
        <w:rPr>
          <w:rFonts w:hint="eastAsia" w:ascii="Times New Roman" w:hAnsi="Times New Roman" w:eastAsia="仿宋_GB2312" w:cs="Times New Roman"/>
          <w:sz w:val="28"/>
          <w:szCs w:val="28"/>
          <w:lang w:eastAsia="zh-CN"/>
        </w:rPr>
        <w:t>；</w:t>
      </w:r>
    </w:p>
    <w:p>
      <w:pPr>
        <w:autoSpaceDE w:val="0"/>
        <w:autoSpaceDN w:val="0"/>
        <w:adjustRightInd w:val="0"/>
        <w:ind w:firstLine="560" w:firstLineChars="200"/>
        <w:rPr>
          <w:rFonts w:hint="eastAsia" w:ascii="仿宋_GB2312" w:hAnsi="Times New Roman" w:eastAsia="仿宋_GB2312"/>
          <w:color w:val="000000" w:themeColor="text1"/>
          <w:sz w:val="28"/>
          <w:szCs w:val="28"/>
          <w:lang w:eastAsia="zh-CN"/>
        </w:rPr>
      </w:pPr>
      <w:r>
        <w:rPr>
          <w:rFonts w:hint="eastAsia" w:ascii="Times New Roman" w:hAnsi="Times New Roman" w:eastAsia="仿宋_GB2312" w:cs="Times New Roman"/>
          <w:sz w:val="28"/>
          <w:szCs w:val="28"/>
          <w:lang w:val="en-US" w:eastAsia="zh-CN"/>
        </w:rPr>
        <w:t>5、</w:t>
      </w:r>
      <w:r>
        <w:rPr>
          <w:rFonts w:hint="eastAsia" w:ascii="仿宋_GB2312" w:hAnsi="Times New Roman" w:eastAsia="仿宋_GB2312"/>
          <w:color w:val="000000" w:themeColor="text1"/>
          <w:sz w:val="28"/>
          <w:szCs w:val="28"/>
        </w:rPr>
        <w:t>《</w:t>
      </w:r>
      <w:bookmarkStart w:id="1" w:name="_Hlk75867041"/>
      <w:r>
        <w:rPr>
          <w:rFonts w:hint="eastAsia" w:ascii="仿宋_GB2312" w:hAnsi="Times New Roman" w:eastAsia="仿宋_GB2312"/>
          <w:color w:val="000000" w:themeColor="text1"/>
          <w:sz w:val="28"/>
          <w:szCs w:val="28"/>
        </w:rPr>
        <w:t>南昌县（小蓝经开区）国民经济和社会发展第十四个五年规划和二</w:t>
      </w:r>
      <w:r>
        <w:rPr>
          <w:rFonts w:hint="eastAsia" w:ascii="微软雅黑" w:hAnsi="微软雅黑" w:eastAsia="微软雅黑" w:cs="微软雅黑"/>
          <w:color w:val="000000" w:themeColor="text1"/>
          <w:sz w:val="28"/>
          <w:szCs w:val="28"/>
        </w:rPr>
        <w:t>〇</w:t>
      </w:r>
      <w:r>
        <w:rPr>
          <w:rFonts w:hint="eastAsia" w:ascii="仿宋_GB2312" w:hAnsi="仿宋_GB2312" w:eastAsia="仿宋_GB2312" w:cs="仿宋_GB2312"/>
          <w:color w:val="000000" w:themeColor="text1"/>
          <w:sz w:val="28"/>
          <w:szCs w:val="28"/>
        </w:rPr>
        <w:t>三五年远景目标纲要</w:t>
      </w:r>
      <w:bookmarkEnd w:id="1"/>
      <w:r>
        <w:rPr>
          <w:rFonts w:hint="eastAsia" w:ascii="仿宋_GB2312" w:hAnsi="Times New Roman" w:eastAsia="仿宋_GB2312"/>
          <w:color w:val="000000" w:themeColor="text1"/>
          <w:sz w:val="28"/>
          <w:szCs w:val="28"/>
        </w:rPr>
        <w:t>》</w:t>
      </w:r>
      <w:r>
        <w:rPr>
          <w:rFonts w:hint="eastAsia" w:ascii="仿宋_GB2312" w:hAnsi="Times New Roman" w:eastAsia="仿宋_GB2312"/>
          <w:color w:val="000000" w:themeColor="text1"/>
          <w:sz w:val="28"/>
          <w:szCs w:val="28"/>
          <w:lang w:eastAsia="zh-CN"/>
        </w:rPr>
        <w:t>；</w:t>
      </w:r>
    </w:p>
    <w:p>
      <w:pPr>
        <w:autoSpaceDE w:val="0"/>
        <w:autoSpaceDN w:val="0"/>
        <w:adjustRightInd w:val="0"/>
        <w:ind w:firstLine="560" w:firstLineChars="200"/>
        <w:rPr>
          <w:rFonts w:hint="eastAsia" w:ascii="Times New Roman" w:hAnsi="Times New Roman" w:eastAsia="仿宋_GB2312" w:cs="Times New Roman"/>
          <w:sz w:val="28"/>
          <w:szCs w:val="28"/>
          <w:lang w:eastAsia="zh-CN"/>
        </w:rPr>
      </w:pPr>
      <w:r>
        <w:rPr>
          <w:rFonts w:hint="eastAsia" w:ascii="仿宋_GB2312" w:hAnsi="Times New Roman" w:eastAsia="仿宋_GB2312"/>
          <w:color w:val="000000" w:themeColor="text1"/>
          <w:sz w:val="28"/>
          <w:szCs w:val="28"/>
          <w:lang w:val="en-US" w:eastAsia="zh-CN"/>
        </w:rPr>
        <w:t>6、</w:t>
      </w:r>
      <w:r>
        <w:rPr>
          <w:rFonts w:hint="eastAsia" w:ascii="仿宋_GB2312" w:hAnsi="仿宋_GB2312" w:eastAsia="仿宋_GB2312" w:cs="仿宋_GB2312"/>
          <w:color w:val="000000" w:themeColor="text1"/>
          <w:sz w:val="28"/>
          <w:szCs w:val="28"/>
        </w:rPr>
        <w:t>《南昌县</w:t>
      </w:r>
      <w:r>
        <w:rPr>
          <w:rFonts w:ascii="仿宋_GB2312" w:hAnsi="仿宋_GB2312" w:eastAsia="仿宋_GB2312" w:cs="仿宋_GB2312"/>
          <w:color w:val="000000" w:themeColor="text1"/>
          <w:sz w:val="28"/>
          <w:szCs w:val="28"/>
        </w:rPr>
        <w:t>2020年国民经济和社会发展计划执行情况及2021年国民经济和社会发展计划</w:t>
      </w:r>
      <w:r>
        <w:rPr>
          <w:rFonts w:hint="eastAsia" w:ascii="仿宋_GB2312" w:hAnsi="仿宋_GB2312" w:eastAsia="仿宋_GB2312" w:cs="仿宋_GB2312"/>
          <w:color w:val="000000" w:themeColor="text1"/>
          <w:sz w:val="28"/>
          <w:szCs w:val="28"/>
        </w:rPr>
        <w:t>》</w:t>
      </w:r>
      <w:r>
        <w:rPr>
          <w:rFonts w:hint="eastAsia" w:ascii="Times New Roman" w:hAnsi="Times New Roman" w:eastAsia="仿宋_GB2312" w:cs="Times New Roman"/>
          <w:sz w:val="28"/>
          <w:szCs w:val="28"/>
          <w:lang w:eastAsia="zh-CN"/>
        </w:rPr>
        <w:t>；</w:t>
      </w:r>
    </w:p>
    <w:p>
      <w:pPr>
        <w:autoSpaceDE w:val="0"/>
        <w:autoSpaceDN w:val="0"/>
        <w:adjustRightInd w:val="0"/>
        <w:ind w:firstLine="560" w:firstLineChars="200"/>
        <w:rPr>
          <w:rFonts w:hint="eastAsia" w:ascii="仿宋_GB2312" w:hAnsi="Times New Roman" w:eastAsia="仿宋_GB2312" w:cs="Times New Roman"/>
          <w:color w:val="000000" w:themeColor="text1"/>
          <w:sz w:val="28"/>
          <w:szCs w:val="28"/>
          <w:lang w:eastAsia="zh-CN"/>
        </w:rPr>
      </w:pPr>
      <w:r>
        <w:rPr>
          <w:rFonts w:hint="eastAsia" w:ascii="Times New Roman" w:hAnsi="Times New Roman" w:eastAsia="仿宋_GB2312" w:cs="Times New Roman"/>
          <w:sz w:val="28"/>
          <w:szCs w:val="28"/>
          <w:lang w:val="en-US" w:eastAsia="zh-CN"/>
        </w:rPr>
        <w:t>7、</w:t>
      </w:r>
      <w:r>
        <w:rPr>
          <w:rFonts w:hint="eastAsia" w:ascii="Times New Roman" w:hAnsi="Times New Roman" w:eastAsia="仿宋_GB2312" w:cs="Times New Roman"/>
          <w:sz w:val="28"/>
          <w:szCs w:val="28"/>
        </w:rPr>
        <w:t>《南昌县土地利用总体规划（</w:t>
      </w:r>
      <w:r>
        <w:rPr>
          <w:rFonts w:ascii="Times New Roman" w:hAnsi="Times New Roman" w:eastAsia="仿宋_GB2312" w:cs="Times New Roman"/>
          <w:sz w:val="28"/>
          <w:szCs w:val="28"/>
        </w:rPr>
        <w:t>2006-2020年）</w:t>
      </w:r>
      <w:r>
        <w:rPr>
          <w:rFonts w:hint="eastAsia" w:ascii="Times New Roman" w:hAnsi="Times New Roman" w:eastAsia="仿宋_GB2312" w:cs="Times New Roman"/>
          <w:sz w:val="28"/>
          <w:szCs w:val="28"/>
        </w:rPr>
        <w:t>延续方案》、</w:t>
      </w:r>
      <w:r>
        <w:rPr>
          <w:rFonts w:hint="eastAsia" w:ascii="仿宋_GB2312" w:hAnsi="Times New Roman" w:eastAsia="仿宋_GB2312" w:cs="Times New Roman"/>
          <w:color w:val="000000" w:themeColor="text1"/>
          <w:sz w:val="28"/>
          <w:szCs w:val="28"/>
        </w:rPr>
        <w:t>《南昌县城市总体规划（2011-2030）》</w:t>
      </w:r>
      <w:r>
        <w:rPr>
          <w:rFonts w:hint="eastAsia" w:ascii="仿宋_GB2312" w:hAnsi="Times New Roman" w:eastAsia="仿宋_GB2312" w:cs="Times New Roman"/>
          <w:color w:val="000000" w:themeColor="text1"/>
          <w:sz w:val="28"/>
          <w:szCs w:val="28"/>
          <w:lang w:eastAsia="zh-CN"/>
        </w:rPr>
        <w:t>；</w:t>
      </w:r>
    </w:p>
    <w:p>
      <w:pPr>
        <w:autoSpaceDE w:val="0"/>
        <w:autoSpaceDN w:val="0"/>
        <w:adjustRightInd w:val="0"/>
        <w:ind w:firstLine="560" w:firstLineChars="200"/>
        <w:rPr>
          <w:rFonts w:ascii="Times New Roman" w:hAnsi="Times New Roman" w:eastAsia="仿宋_GB2312" w:cs="仿宋_GB2312"/>
          <w:kern w:val="0"/>
          <w:sz w:val="28"/>
          <w:szCs w:val="28"/>
        </w:rPr>
      </w:pPr>
      <w:r>
        <w:rPr>
          <w:rFonts w:hint="eastAsia" w:ascii="仿宋_GB2312" w:hAnsi="Times New Roman" w:eastAsia="仿宋_GB2312" w:cs="Times New Roman"/>
          <w:color w:val="000000" w:themeColor="text1"/>
          <w:sz w:val="28"/>
          <w:szCs w:val="28"/>
          <w:lang w:val="en-US" w:eastAsia="zh-CN"/>
        </w:rPr>
        <w:t>8、</w:t>
      </w:r>
      <w:r>
        <w:rPr>
          <w:rFonts w:hint="eastAsia" w:ascii="Times New Roman" w:hAnsi="Times New Roman" w:eastAsia="仿宋_GB2312" w:cs="Times New Roman"/>
          <w:sz w:val="28"/>
          <w:szCs w:val="28"/>
        </w:rPr>
        <w:t>《南昌县向塘镇总体规划（201</w:t>
      </w:r>
      <w:r>
        <w:rPr>
          <w:rFonts w:ascii="Times New Roman" w:hAnsi="Times New Roman" w:eastAsia="仿宋_GB2312" w:cs="Times New Roman"/>
          <w:sz w:val="28"/>
          <w:szCs w:val="28"/>
        </w:rPr>
        <w:t>5</w:t>
      </w:r>
      <w:r>
        <w:rPr>
          <w:rFonts w:hint="eastAsia" w:ascii="Times New Roman" w:hAnsi="Times New Roman" w:eastAsia="仿宋_GB2312" w:cs="Times New Roman"/>
          <w:sz w:val="28"/>
          <w:szCs w:val="28"/>
        </w:rPr>
        <w:t>-2030）</w:t>
      </w:r>
      <w:r>
        <w:rPr>
          <w:rFonts w:ascii="Times New Roman" w:hAnsi="Times New Roman" w:eastAsia="仿宋_GB2312" w:cs="Times New Roman"/>
          <w:sz w:val="28"/>
          <w:szCs w:val="28"/>
        </w:rPr>
        <w:t>》</w:t>
      </w:r>
      <w:r>
        <w:rPr>
          <w:rFonts w:hint="eastAsia" w:ascii="Times New Roman" w:hAnsi="Times New Roman" w:eastAsia="仿宋_GB2312" w:cs="仿宋_GB2312"/>
          <w:kern w:val="0"/>
          <w:sz w:val="28"/>
          <w:szCs w:val="28"/>
        </w:rPr>
        <w:t>。</w:t>
      </w:r>
    </w:p>
    <w:p>
      <w:pPr>
        <w:pStyle w:val="2"/>
        <w:spacing w:line="240" w:lineRule="auto"/>
        <w:ind w:left="0" w:firstLine="640" w:firstLineChars="200"/>
        <w:rPr>
          <w:rFonts w:ascii="Times New Roman" w:hAnsi="Times New Roman" w:eastAsia="黑体"/>
          <w:b w:val="0"/>
          <w:bCs w:val="0"/>
          <w:sz w:val="32"/>
          <w:szCs w:val="32"/>
        </w:rPr>
      </w:pPr>
      <w:bookmarkStart w:id="2" w:name="_Toc69736442"/>
      <w:r>
        <w:rPr>
          <w:rFonts w:hint="eastAsia" w:ascii="Times New Roman" w:hAnsi="Times New Roman" w:eastAsia="黑体"/>
          <w:b w:val="0"/>
          <w:bCs w:val="0"/>
          <w:sz w:val="32"/>
          <w:szCs w:val="32"/>
        </w:rPr>
        <w:t>二、基本情况</w:t>
      </w:r>
      <w:bookmarkEnd w:id="2"/>
    </w:p>
    <w:p>
      <w:pPr>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olor w:val="000000" w:themeColor="text1"/>
          <w:sz w:val="28"/>
          <w:szCs w:val="28"/>
        </w:rPr>
        <w:t>本成片开发方案编制范围</w:t>
      </w:r>
      <w:r>
        <w:rPr>
          <w:rFonts w:hint="eastAsia" w:ascii="Times New Roman" w:hAnsi="Times New Roman" w:eastAsia="仿宋_GB2312" w:cs="Times New Roman"/>
          <w:sz w:val="28"/>
          <w:szCs w:val="28"/>
        </w:rPr>
        <w:t>位于沪昆高速以北，双龙大道以南、金沙大道以东，迎贤大道以西。总面积</w:t>
      </w:r>
      <w:r>
        <w:rPr>
          <w:rFonts w:ascii="Times New Roman" w:hAnsi="Times New Roman" w:eastAsia="仿宋_GB2312" w:cs="Times New Roman"/>
          <w:sz w:val="28"/>
          <w:szCs w:val="28"/>
        </w:rPr>
        <w:t>523.34公顷</w:t>
      </w:r>
      <w:r>
        <w:rPr>
          <w:rFonts w:hint="eastAsia" w:ascii="Times New Roman" w:hAnsi="Times New Roman" w:eastAsia="仿宋_GB2312" w:cs="Times New Roman"/>
          <w:sz w:val="28"/>
          <w:szCs w:val="28"/>
        </w:rPr>
        <w:t>，拟征地面积303.65</w:t>
      </w:r>
      <w:r>
        <w:rPr>
          <w:rFonts w:ascii="Times New Roman" w:hAnsi="Times New Roman" w:eastAsia="仿宋_GB2312" w:cs="Times New Roman"/>
          <w:sz w:val="28"/>
          <w:szCs w:val="28"/>
        </w:rPr>
        <w:t>公顷</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涉及</w:t>
      </w:r>
      <w:r>
        <w:rPr>
          <w:rFonts w:hint="eastAsia" w:ascii="Times New Roman" w:hAnsi="Times New Roman" w:eastAsia="仿宋_GB2312" w:cs="Times New Roman"/>
          <w:sz w:val="28"/>
          <w:szCs w:val="28"/>
        </w:rPr>
        <w:t>冈上镇东坛村农民集体、瓜山组，长兴组；冈上镇黄台村农民集体、横巷组、南头组；向塘镇辜坊村农民集体、廖万组、辜坊组；江西省良种场；向塘镇向塘村农民集体、大村组、岗上组、老厦村组、莲溪组；向塘镇丁坊村农民集体、丁家组、谭家组、蒋家组、桥头组、下岸组、熊家组、杨村组、杨家组、袁家组；向塘镇南店村农民集体、邓家组、后屋组、江家组、江垅组、里田组、刘家组、前屋组、涂坊组、张家组、周家组；向塘镇山背村农民集体；向塘镇新村农民集体、西山组</w:t>
      </w:r>
      <w:r>
        <w:rPr>
          <w:rFonts w:hint="eastAsia" w:ascii="Times New Roman" w:hAnsi="Times New Roman" w:eastAsia="仿宋_GB2312" w:cs="仿宋_GB2312"/>
          <w:sz w:val="28"/>
          <w:szCs w:val="28"/>
        </w:rPr>
        <w:t>。</w:t>
      </w:r>
    </w:p>
    <w:p>
      <w:pPr>
        <w:pStyle w:val="2"/>
        <w:spacing w:line="240" w:lineRule="auto"/>
        <w:ind w:left="0" w:firstLine="640" w:firstLineChars="200"/>
        <w:rPr>
          <w:rFonts w:ascii="Times New Roman" w:hAnsi="Times New Roman" w:eastAsia="黑体"/>
          <w:b w:val="0"/>
          <w:bCs w:val="0"/>
          <w:sz w:val="32"/>
          <w:szCs w:val="32"/>
        </w:rPr>
      </w:pPr>
      <w:bookmarkStart w:id="3" w:name="_Toc69736450"/>
      <w:r>
        <w:rPr>
          <w:rFonts w:hint="eastAsia" w:ascii="Times New Roman" w:hAnsi="Times New Roman" w:eastAsia="黑体"/>
          <w:b w:val="0"/>
          <w:bCs w:val="0"/>
          <w:sz w:val="32"/>
          <w:szCs w:val="32"/>
        </w:rPr>
        <w:t>三、必要性</w:t>
      </w:r>
      <w:bookmarkEnd w:id="3"/>
    </w:p>
    <w:p>
      <w:pPr>
        <w:spacing w:line="360" w:lineRule="auto"/>
        <w:ind w:firstLine="640"/>
        <w:rPr>
          <w:rFonts w:ascii="Times New Roman" w:hAnsi="Times New Roman" w:eastAsia="仿宋_GB2312"/>
          <w:color w:val="000000" w:themeColor="text1"/>
          <w:sz w:val="28"/>
          <w:szCs w:val="28"/>
        </w:rPr>
      </w:pPr>
      <w:r>
        <w:rPr>
          <w:rFonts w:hint="eastAsia" w:ascii="Times New Roman" w:hAnsi="Times New Roman" w:eastAsia="仿宋_GB2312"/>
          <w:sz w:val="28"/>
          <w:szCs w:val="28"/>
        </w:rPr>
        <w:t>向塘片区以南昌大都市为依托，致力于成为中部地区重要的现代物流业基地、华东地区重要的铁路交通枢纽、南昌市域范围内以商贸业为主导，加工业发达的南部地区经济中心。</w:t>
      </w:r>
      <w:r>
        <w:rPr>
          <w:rFonts w:hint="eastAsia" w:ascii="Times New Roman" w:hAnsi="Times New Roman" w:eastAsia="仿宋_GB2312" w:cs="仿宋_GB2312"/>
          <w:kern w:val="0"/>
          <w:sz w:val="28"/>
          <w:szCs w:val="28"/>
        </w:rPr>
        <w:t>科学编制土地征收成片开发方案，</w:t>
      </w:r>
      <w:r>
        <w:rPr>
          <w:rFonts w:hint="eastAsia" w:ascii="Times New Roman" w:hAnsi="Times New Roman" w:eastAsia="仿宋_GB2312"/>
          <w:sz w:val="28"/>
          <w:szCs w:val="28"/>
        </w:rPr>
        <w:t>有利于实现区域土地综合开发、高效利用、保障重点项目落地，推动城镇建设、</w:t>
      </w:r>
      <w:r>
        <w:rPr>
          <w:rFonts w:hint="eastAsia" w:ascii="Times New Roman" w:hAnsi="Times New Roman" w:eastAsia="仿宋_GB2312"/>
          <w:color w:val="000000" w:themeColor="text1"/>
          <w:sz w:val="28"/>
          <w:szCs w:val="28"/>
        </w:rPr>
        <w:t>塑造区域品牌，带动区域经济增长。</w:t>
      </w:r>
    </w:p>
    <w:p>
      <w:pPr>
        <w:pStyle w:val="2"/>
        <w:spacing w:line="240" w:lineRule="auto"/>
        <w:ind w:left="0" w:firstLine="640" w:firstLineChars="200"/>
        <w:rPr>
          <w:rFonts w:ascii="Times New Roman" w:hAnsi="Times New Roman" w:eastAsia="黑体"/>
          <w:b w:val="0"/>
          <w:bCs w:val="0"/>
          <w:sz w:val="32"/>
          <w:szCs w:val="32"/>
        </w:rPr>
      </w:pPr>
      <w:bookmarkStart w:id="4" w:name="_Toc69736453"/>
      <w:r>
        <w:rPr>
          <w:rFonts w:hint="eastAsia" w:ascii="Times New Roman" w:hAnsi="Times New Roman" w:eastAsia="黑体"/>
          <w:b w:val="0"/>
          <w:bCs w:val="0"/>
          <w:sz w:val="32"/>
          <w:szCs w:val="32"/>
        </w:rPr>
        <w:t>四、合规性</w:t>
      </w:r>
      <w:bookmarkEnd w:id="4"/>
    </w:p>
    <w:p>
      <w:pPr>
        <w:spacing w:line="360" w:lineRule="auto"/>
        <w:ind w:firstLine="640"/>
        <w:rPr>
          <w:rFonts w:ascii="Times New Roman" w:hAnsi="Times New Roman" w:eastAsia="仿宋_GB2312"/>
          <w:sz w:val="28"/>
          <w:szCs w:val="28"/>
        </w:rPr>
      </w:pPr>
      <w:bookmarkStart w:id="5" w:name="_Toc69736454"/>
      <w:bookmarkStart w:id="6" w:name="_Toc69736458"/>
      <w:r>
        <w:rPr>
          <w:rFonts w:hint="eastAsia" w:ascii="Times New Roman" w:hAnsi="Times New Roman" w:eastAsia="仿宋_GB2312"/>
          <w:sz w:val="28"/>
          <w:szCs w:val="28"/>
        </w:rPr>
        <w:t>本成片开发方案符合</w:t>
      </w:r>
      <w:bookmarkEnd w:id="5"/>
      <w:r>
        <w:rPr>
          <w:rFonts w:hint="eastAsia" w:ascii="仿宋_GB2312" w:hAnsi="Times New Roman" w:eastAsia="仿宋_GB2312"/>
          <w:color w:val="000000" w:themeColor="text1"/>
          <w:sz w:val="28"/>
          <w:szCs w:val="28"/>
        </w:rPr>
        <w:t>《南昌县（小蓝经开区）国民经济和社会发展第十四个五年规划和</w:t>
      </w:r>
      <w:bookmarkStart w:id="9" w:name="_GoBack"/>
      <w:bookmarkEnd w:id="9"/>
      <w:r>
        <w:rPr>
          <w:rFonts w:hint="eastAsia" w:ascii="仿宋_GB2312" w:hAnsi="Times New Roman" w:eastAsia="仿宋_GB2312"/>
          <w:color w:val="000000" w:themeColor="text1"/>
          <w:sz w:val="28"/>
          <w:szCs w:val="28"/>
        </w:rPr>
        <w:t>二</w:t>
      </w:r>
      <w:r>
        <w:rPr>
          <w:rFonts w:hint="eastAsia" w:ascii="微软雅黑" w:hAnsi="微软雅黑" w:eastAsia="微软雅黑" w:cs="微软雅黑"/>
          <w:color w:val="000000" w:themeColor="text1"/>
          <w:sz w:val="28"/>
          <w:szCs w:val="28"/>
        </w:rPr>
        <w:t>〇</w:t>
      </w:r>
      <w:r>
        <w:rPr>
          <w:rFonts w:hint="eastAsia" w:ascii="仿宋_GB2312" w:hAnsi="仿宋_GB2312" w:eastAsia="仿宋_GB2312" w:cs="仿宋_GB2312"/>
          <w:color w:val="000000" w:themeColor="text1"/>
          <w:sz w:val="28"/>
          <w:szCs w:val="28"/>
        </w:rPr>
        <w:t>三五年远景目标纲要</w:t>
      </w:r>
      <w:r>
        <w:rPr>
          <w:rFonts w:hint="eastAsia" w:ascii="仿宋_GB2312" w:hAnsi="Times New Roman" w:eastAsia="仿宋_GB2312"/>
          <w:color w:val="000000" w:themeColor="text1"/>
          <w:sz w:val="28"/>
          <w:szCs w:val="28"/>
        </w:rPr>
        <w:t>》、</w:t>
      </w:r>
      <w:r>
        <w:rPr>
          <w:rFonts w:hint="eastAsia" w:ascii="仿宋_GB2312" w:hAnsi="仿宋_GB2312" w:eastAsia="仿宋_GB2312" w:cs="仿宋_GB2312"/>
          <w:color w:val="000000" w:themeColor="text1"/>
          <w:sz w:val="28"/>
          <w:szCs w:val="28"/>
        </w:rPr>
        <w:t>《南昌县</w:t>
      </w:r>
      <w:r>
        <w:rPr>
          <w:rFonts w:ascii="仿宋_GB2312" w:hAnsi="仿宋_GB2312" w:eastAsia="仿宋_GB2312" w:cs="仿宋_GB2312"/>
          <w:color w:val="000000" w:themeColor="text1"/>
          <w:sz w:val="28"/>
          <w:szCs w:val="28"/>
        </w:rPr>
        <w:t>2020年国民经济和社会发展计划执行情况及2021年国民经济和社会发展计划</w:t>
      </w:r>
      <w:r>
        <w:rPr>
          <w:rFonts w:hint="eastAsia" w:ascii="仿宋_GB2312" w:hAnsi="仿宋_GB2312" w:eastAsia="仿宋_GB2312" w:cs="仿宋_GB2312"/>
          <w:color w:val="000000" w:themeColor="text1"/>
          <w:sz w:val="28"/>
          <w:szCs w:val="28"/>
        </w:rPr>
        <w:t>》</w:t>
      </w:r>
      <w:r>
        <w:rPr>
          <w:rFonts w:hint="eastAsia" w:ascii="Times New Roman" w:hAnsi="Times New Roman" w:eastAsia="仿宋_GB2312"/>
          <w:sz w:val="28"/>
          <w:szCs w:val="28"/>
        </w:rPr>
        <w:t>，成片开发范围位于土地利用总体规划的允许建设区，位于南昌县总体规划规划区范围内，不涉及占用永久基本农田保护红线、生态保护红线，</w:t>
      </w:r>
      <w:r>
        <w:rPr>
          <w:rFonts w:hint="eastAsia" w:ascii="Times New Roman" w:hAnsi="Times New Roman" w:eastAsia="仿宋_GB2312" w:cs="仿宋_GB2312"/>
          <w:kern w:val="0"/>
          <w:sz w:val="28"/>
          <w:szCs w:val="28"/>
        </w:rPr>
        <w:t>不涉及占用自然保护地、一级保护林地、历史文化街区名镇名村等特定区域，不涉及土壤污染、疑似污染地块，成片开发范围内地质灾害为不易发，不涉及占用</w:t>
      </w:r>
      <w:r>
        <w:rPr>
          <w:rFonts w:ascii="Times New Roman" w:hAnsi="Times New Roman" w:eastAsia="仿宋_GB2312"/>
          <w:sz w:val="28"/>
        </w:rPr>
        <w:t>采矿探矿权范围</w:t>
      </w:r>
      <w:r>
        <w:rPr>
          <w:rFonts w:hint="eastAsia" w:ascii="Times New Roman" w:hAnsi="Times New Roman" w:eastAsia="仿宋_GB2312"/>
          <w:sz w:val="28"/>
        </w:rPr>
        <w:t>。</w:t>
      </w:r>
    </w:p>
    <w:p>
      <w:pPr>
        <w:pStyle w:val="2"/>
        <w:spacing w:line="240" w:lineRule="auto"/>
        <w:ind w:left="0" w:firstLine="640" w:firstLineChars="200"/>
        <w:rPr>
          <w:rFonts w:ascii="Times New Roman" w:hAnsi="Times New Roman" w:eastAsia="黑体"/>
          <w:b w:val="0"/>
          <w:bCs w:val="0"/>
          <w:sz w:val="32"/>
          <w:szCs w:val="32"/>
        </w:rPr>
      </w:pPr>
      <w:r>
        <w:rPr>
          <w:rFonts w:hint="eastAsia" w:ascii="Times New Roman" w:hAnsi="Times New Roman" w:eastAsia="黑体"/>
          <w:b w:val="0"/>
          <w:bCs w:val="0"/>
          <w:sz w:val="32"/>
          <w:szCs w:val="32"/>
        </w:rPr>
        <w:t>五、主要用途和实现功能</w:t>
      </w:r>
      <w:bookmarkEnd w:id="6"/>
    </w:p>
    <w:p>
      <w:pPr>
        <w:spacing w:line="360" w:lineRule="auto"/>
        <w:ind w:firstLine="560" w:firstLineChars="200"/>
        <w:rPr>
          <w:rFonts w:ascii="Times New Roman" w:hAnsi="Times New Roman" w:eastAsia="仿宋_GB2312"/>
          <w:sz w:val="28"/>
        </w:rPr>
      </w:pPr>
      <w:r>
        <w:rPr>
          <w:rFonts w:hint="eastAsia" w:ascii="Times New Roman" w:hAnsi="Times New Roman" w:eastAsia="仿宋_GB2312"/>
          <w:sz w:val="28"/>
        </w:rPr>
        <w:t>本成片开发方案用地总面积523.34</w:t>
      </w:r>
      <w:r>
        <w:rPr>
          <w:rFonts w:ascii="Times New Roman" w:hAnsi="Times New Roman" w:eastAsia="仿宋_GB2312"/>
          <w:sz w:val="28"/>
        </w:rPr>
        <w:t>公顷，规划用途为物流仓储用地200.16公顷，占比38.25%</w:t>
      </w:r>
      <w:r>
        <w:rPr>
          <w:rFonts w:hint="eastAsia" w:ascii="Times New Roman" w:hAnsi="Times New Roman" w:eastAsia="仿宋_GB2312"/>
          <w:sz w:val="28"/>
        </w:rPr>
        <w:t>；</w:t>
      </w:r>
      <w:r>
        <w:rPr>
          <w:rFonts w:ascii="Times New Roman" w:hAnsi="Times New Roman" w:eastAsia="仿宋_GB2312"/>
          <w:sz w:val="28"/>
        </w:rPr>
        <w:t>交通运输用地</w:t>
      </w:r>
      <w:r>
        <w:rPr>
          <w:rFonts w:hint="eastAsia" w:ascii="Times New Roman" w:hAnsi="Times New Roman" w:eastAsia="仿宋_GB2312"/>
          <w:sz w:val="28"/>
        </w:rPr>
        <w:t>99.39</w:t>
      </w:r>
      <w:r>
        <w:rPr>
          <w:rFonts w:ascii="Times New Roman" w:hAnsi="Times New Roman" w:eastAsia="仿宋_GB2312"/>
          <w:sz w:val="28"/>
        </w:rPr>
        <w:t>公顷，占比18.99%；公共管理与公共服务用地54.13公顷，占比10.34%；商业服务业设施用地54.03公顷，占比10.32%；</w:t>
      </w:r>
      <w:r>
        <w:rPr>
          <w:rFonts w:hint="eastAsia" w:ascii="Times New Roman" w:hAnsi="Times New Roman" w:eastAsia="仿宋_GB2312"/>
          <w:sz w:val="28"/>
        </w:rPr>
        <w:t>工业用地</w:t>
      </w:r>
      <w:r>
        <w:rPr>
          <w:rFonts w:ascii="Times New Roman" w:hAnsi="Times New Roman" w:eastAsia="仿宋_GB2312"/>
          <w:sz w:val="28"/>
        </w:rPr>
        <w:t>53.29公顷</w:t>
      </w:r>
      <w:r>
        <w:rPr>
          <w:rFonts w:hint="eastAsia" w:ascii="Times New Roman" w:hAnsi="Times New Roman" w:eastAsia="仿宋_GB2312"/>
          <w:sz w:val="28"/>
        </w:rPr>
        <w:t>，</w:t>
      </w:r>
      <w:r>
        <w:rPr>
          <w:rFonts w:ascii="Times New Roman" w:hAnsi="Times New Roman" w:eastAsia="仿宋_GB2312"/>
          <w:sz w:val="28"/>
        </w:rPr>
        <w:t>占比10.18%</w:t>
      </w:r>
      <w:r>
        <w:rPr>
          <w:rFonts w:hint="eastAsia" w:ascii="Times New Roman" w:hAnsi="Times New Roman" w:eastAsia="仿宋_GB2312"/>
          <w:sz w:val="28"/>
        </w:rPr>
        <w:t>；</w:t>
      </w:r>
      <w:r>
        <w:rPr>
          <w:rFonts w:ascii="Times New Roman" w:hAnsi="Times New Roman" w:eastAsia="仿宋_GB2312"/>
          <w:sz w:val="28"/>
        </w:rPr>
        <w:t>绿地与开敞空间用地35.42公顷，占比6.77%；居住用地22.80公顷，占比4.36%</w:t>
      </w:r>
      <w:r>
        <w:rPr>
          <w:rFonts w:hint="eastAsia" w:ascii="Times New Roman" w:hAnsi="Times New Roman" w:eastAsia="仿宋_GB2312"/>
          <w:sz w:val="28"/>
        </w:rPr>
        <w:t>；</w:t>
      </w:r>
      <w:r>
        <w:rPr>
          <w:rFonts w:ascii="Times New Roman" w:hAnsi="Times New Roman" w:eastAsia="仿宋_GB2312"/>
          <w:sz w:val="28"/>
        </w:rPr>
        <w:t>特殊用地2.53公顷，占比0.48%；水域0.96公顷，占比0.18%</w:t>
      </w:r>
      <w:r>
        <w:rPr>
          <w:rFonts w:hint="eastAsia" w:ascii="Times New Roman" w:hAnsi="Times New Roman" w:eastAsia="仿宋_GB2312"/>
          <w:sz w:val="28"/>
        </w:rPr>
        <w:t>；</w:t>
      </w:r>
      <w:r>
        <w:rPr>
          <w:rFonts w:ascii="Times New Roman" w:hAnsi="Times New Roman" w:eastAsia="仿宋_GB2312"/>
          <w:sz w:val="28"/>
        </w:rPr>
        <w:t>公用设施用地0.63公顷，占比0.12%。</w:t>
      </w:r>
    </w:p>
    <w:p>
      <w:pPr>
        <w:pStyle w:val="7"/>
        <w:ind w:firstLine="560"/>
        <w:rPr>
          <w:rFonts w:ascii="Times New Roman" w:hAnsi="Times New Roman" w:eastAsia="仿宋_GB2312"/>
          <w:color w:val="000000" w:themeColor="text1"/>
          <w:sz w:val="28"/>
        </w:rPr>
      </w:pPr>
      <w:r>
        <w:rPr>
          <w:rFonts w:hint="eastAsia" w:ascii="Times New Roman" w:hAnsi="Times New Roman" w:eastAsia="仿宋_GB2312"/>
          <w:color w:val="000000" w:themeColor="text1"/>
          <w:sz w:val="28"/>
          <w:szCs w:val="28"/>
        </w:rPr>
        <w:t>本</w:t>
      </w:r>
      <w:r>
        <w:rPr>
          <w:rFonts w:hint="eastAsia" w:ascii="Times New Roman" w:hAnsi="Times New Roman" w:eastAsia="仿宋_GB2312"/>
          <w:color w:val="000000" w:themeColor="text1"/>
          <w:sz w:val="28"/>
        </w:rPr>
        <w:t>成片开发方案主要服务于南昌县向塘镇、岗上镇以及良种场的用地需求。</w:t>
      </w:r>
      <w:r>
        <w:rPr>
          <w:rFonts w:ascii="Times New Roman" w:hAnsi="Times New Roman" w:eastAsia="仿宋_GB2312"/>
          <w:color w:val="000000" w:themeColor="text1"/>
          <w:sz w:val="28"/>
        </w:rPr>
        <w:t>开发有利于进一步推进新型城镇化进程，</w:t>
      </w:r>
      <w:r>
        <w:rPr>
          <w:rFonts w:hint="eastAsia" w:ascii="Times New Roman" w:hAnsi="Times New Roman" w:eastAsia="仿宋_GB2312"/>
          <w:color w:val="000000" w:themeColor="text1"/>
          <w:sz w:val="28"/>
        </w:rPr>
        <w:t>实现城乡基础设施一体化和公共服务均等化，</w:t>
      </w:r>
      <w:r>
        <w:rPr>
          <w:rFonts w:ascii="Times New Roman" w:hAnsi="Times New Roman" w:eastAsia="仿宋_GB2312"/>
          <w:color w:val="000000" w:themeColor="text1"/>
          <w:sz w:val="28"/>
        </w:rPr>
        <w:t>打造成片集中</w:t>
      </w:r>
      <w:r>
        <w:rPr>
          <w:rFonts w:hint="eastAsia" w:ascii="Times New Roman" w:hAnsi="Times New Roman" w:eastAsia="仿宋_GB2312"/>
          <w:color w:val="000000" w:themeColor="text1"/>
          <w:sz w:val="28"/>
        </w:rPr>
        <w:t>居住区、</w:t>
      </w:r>
      <w:r>
        <w:rPr>
          <w:rFonts w:ascii="Times New Roman" w:hAnsi="Times New Roman" w:eastAsia="仿宋_GB2312"/>
          <w:color w:val="000000" w:themeColor="text1"/>
          <w:sz w:val="28"/>
        </w:rPr>
        <w:t>商业中心，完善公共服务，提升片区城市品质，促进经济社会发展。</w:t>
      </w:r>
    </w:p>
    <w:p>
      <w:pPr>
        <w:pStyle w:val="7"/>
        <w:ind w:firstLine="560"/>
        <w:rPr>
          <w:rFonts w:ascii="Times New Roman" w:hAnsi="Times New Roman" w:eastAsia="仿宋_GB2312"/>
          <w:color w:val="000000" w:themeColor="text1"/>
          <w:sz w:val="28"/>
        </w:rPr>
      </w:pPr>
      <w:r>
        <w:rPr>
          <w:rFonts w:hint="eastAsia" w:ascii="Times New Roman" w:hAnsi="Times New Roman" w:eastAsia="仿宋_GB2312"/>
          <w:color w:val="000000" w:themeColor="text1"/>
          <w:sz w:val="28"/>
        </w:rPr>
        <w:t>其中</w:t>
      </w:r>
      <w:r>
        <w:rPr>
          <w:rFonts w:ascii="Times New Roman" w:hAnsi="Times New Roman" w:eastAsia="仿宋_GB2312"/>
          <w:sz w:val="28"/>
        </w:rPr>
        <w:t>物流仓储用地</w:t>
      </w:r>
      <w:r>
        <w:rPr>
          <w:rFonts w:hint="eastAsia" w:ascii="Times New Roman" w:hAnsi="Times New Roman" w:eastAsia="仿宋_GB2312"/>
          <w:color w:val="000000" w:themeColor="text1"/>
          <w:sz w:val="28"/>
        </w:rPr>
        <w:t>主要是推动片区物流产业发展，加快推进向塘现代物流园基地建设；</w:t>
      </w:r>
    </w:p>
    <w:p>
      <w:pPr>
        <w:pStyle w:val="7"/>
        <w:ind w:firstLine="560"/>
        <w:rPr>
          <w:rFonts w:ascii="Times New Roman" w:hAnsi="Times New Roman" w:eastAsia="仿宋_GB2312"/>
          <w:color w:val="000000" w:themeColor="text1"/>
          <w:sz w:val="28"/>
        </w:rPr>
      </w:pPr>
      <w:r>
        <w:rPr>
          <w:rFonts w:hint="eastAsia" w:ascii="Times New Roman" w:hAnsi="Times New Roman" w:eastAsia="仿宋_GB2312"/>
          <w:color w:val="000000" w:themeColor="text1"/>
          <w:sz w:val="28"/>
        </w:rPr>
        <w:t>道路与</w:t>
      </w:r>
      <w:r>
        <w:rPr>
          <w:rFonts w:ascii="Times New Roman" w:hAnsi="Times New Roman" w:eastAsia="仿宋_GB2312"/>
          <w:color w:val="000000" w:themeColor="text1"/>
          <w:sz w:val="28"/>
        </w:rPr>
        <w:t>交通运输用地</w:t>
      </w:r>
      <w:r>
        <w:rPr>
          <w:rFonts w:hint="eastAsia" w:ascii="Times New Roman" w:hAnsi="Times New Roman" w:eastAsia="仿宋_GB2312"/>
          <w:color w:val="000000" w:themeColor="text1"/>
          <w:sz w:val="28"/>
        </w:rPr>
        <w:t>主要是</w:t>
      </w:r>
      <w:r>
        <w:rPr>
          <w:rFonts w:ascii="Times New Roman" w:hAnsi="Times New Roman" w:eastAsia="仿宋_GB2312"/>
          <w:color w:val="000000" w:themeColor="text1"/>
          <w:sz w:val="28"/>
        </w:rPr>
        <w:t>完善道路交通设施建设功能，可为周边群众和产业园提供便利的交通通道，提高出行可达性和交通效率，促进片区功能调整，使整个区域发展环境得到改善，进而带动沿线区域经济发展</w:t>
      </w:r>
      <w:r>
        <w:rPr>
          <w:rFonts w:hint="eastAsia" w:ascii="Times New Roman" w:hAnsi="Times New Roman" w:eastAsia="仿宋_GB2312"/>
          <w:color w:val="000000" w:themeColor="text1"/>
          <w:sz w:val="28"/>
        </w:rPr>
        <w:t>；</w:t>
      </w:r>
    </w:p>
    <w:p>
      <w:pPr>
        <w:pStyle w:val="7"/>
        <w:ind w:firstLine="560"/>
        <w:rPr>
          <w:rFonts w:ascii="Times New Roman" w:hAnsi="Times New Roman" w:eastAsia="仿宋_GB2312"/>
          <w:color w:val="000000" w:themeColor="text1"/>
          <w:sz w:val="28"/>
        </w:rPr>
      </w:pPr>
      <w:r>
        <w:rPr>
          <w:rFonts w:hint="eastAsia" w:ascii="Times New Roman" w:hAnsi="Times New Roman" w:eastAsia="仿宋_GB2312"/>
          <w:color w:val="000000" w:themeColor="text1"/>
          <w:sz w:val="28"/>
        </w:rPr>
        <w:t>公共管理与公共服务用地与</w:t>
      </w:r>
      <w:r>
        <w:rPr>
          <w:rFonts w:ascii="Times New Roman" w:hAnsi="Times New Roman" w:eastAsia="仿宋_GB2312"/>
          <w:sz w:val="28"/>
        </w:rPr>
        <w:t>公用设施用地</w:t>
      </w:r>
      <w:r>
        <w:rPr>
          <w:rFonts w:hint="eastAsia" w:ascii="Times New Roman" w:hAnsi="Times New Roman" w:eastAsia="仿宋_GB2312"/>
          <w:color w:val="000000" w:themeColor="text1"/>
          <w:sz w:val="28"/>
        </w:rPr>
        <w:t>主要是</w:t>
      </w:r>
      <w:r>
        <w:rPr>
          <w:rFonts w:hint="eastAsia" w:eastAsia="仿宋_GB2312"/>
          <w:sz w:val="28"/>
          <w:szCs w:val="28"/>
        </w:rPr>
        <w:t>完善周边区域配套设施布置功能，为周边社区居民提供便民利民、文化娱乐等公共场所，提高居民生活质量，增强群众幸福感</w:t>
      </w:r>
      <w:r>
        <w:rPr>
          <w:rFonts w:hint="eastAsia" w:ascii="Times New Roman" w:hAnsi="Times New Roman" w:eastAsia="仿宋_GB2312"/>
          <w:color w:val="000000" w:themeColor="text1"/>
          <w:sz w:val="28"/>
        </w:rPr>
        <w:t>；</w:t>
      </w:r>
    </w:p>
    <w:p>
      <w:pPr>
        <w:pStyle w:val="7"/>
        <w:ind w:firstLine="560"/>
        <w:rPr>
          <w:rFonts w:ascii="Times New Roman" w:hAnsi="Times New Roman" w:eastAsia="仿宋_GB2312"/>
          <w:color w:val="000000" w:themeColor="text1"/>
          <w:sz w:val="28"/>
        </w:rPr>
      </w:pPr>
      <w:r>
        <w:rPr>
          <w:rFonts w:ascii="Times New Roman" w:hAnsi="Times New Roman" w:eastAsia="仿宋_GB2312"/>
          <w:color w:val="000000" w:themeColor="text1"/>
          <w:sz w:val="28"/>
        </w:rPr>
        <w:t>商业服务业用地</w:t>
      </w:r>
      <w:r>
        <w:rPr>
          <w:rFonts w:hint="eastAsia" w:ascii="Times New Roman" w:hAnsi="Times New Roman" w:eastAsia="仿宋_GB2312"/>
          <w:color w:val="000000" w:themeColor="text1"/>
          <w:sz w:val="28"/>
        </w:rPr>
        <w:t>主要是打造多功能、多业种、多业态的商业集合体，成为扩大内需和拉动经济发展的新引擎；</w:t>
      </w:r>
    </w:p>
    <w:p>
      <w:pPr>
        <w:pStyle w:val="7"/>
        <w:ind w:firstLine="560"/>
        <w:rPr>
          <w:rFonts w:ascii="Times New Roman" w:hAnsi="Times New Roman" w:eastAsia="仿宋_GB2312"/>
          <w:color w:val="000000" w:themeColor="text1"/>
          <w:sz w:val="28"/>
        </w:rPr>
      </w:pPr>
      <w:r>
        <w:rPr>
          <w:rFonts w:hint="eastAsia" w:ascii="Times New Roman" w:hAnsi="Times New Roman" w:eastAsia="仿宋_GB2312"/>
          <w:sz w:val="28"/>
        </w:rPr>
        <w:t>工业用地</w:t>
      </w:r>
      <w:r>
        <w:rPr>
          <w:rFonts w:hint="eastAsia" w:ascii="Times New Roman" w:hAnsi="Times New Roman" w:eastAsia="仿宋_GB2312"/>
          <w:color w:val="000000" w:themeColor="text1"/>
          <w:sz w:val="28"/>
        </w:rPr>
        <w:t>主要是强化片区工业发展，增加居民就业选择，改善居民生产方式。</w:t>
      </w:r>
    </w:p>
    <w:p>
      <w:pPr>
        <w:pStyle w:val="7"/>
        <w:ind w:firstLine="560"/>
        <w:rPr>
          <w:rFonts w:ascii="Times New Roman" w:hAnsi="Times New Roman" w:eastAsia="仿宋_GB2312"/>
          <w:color w:val="000000" w:themeColor="text1"/>
          <w:sz w:val="28"/>
        </w:rPr>
      </w:pPr>
      <w:r>
        <w:rPr>
          <w:rFonts w:hint="eastAsia" w:ascii="Times New Roman" w:hAnsi="Times New Roman" w:eastAsia="仿宋_GB2312"/>
          <w:color w:val="000000" w:themeColor="text1"/>
          <w:sz w:val="28"/>
        </w:rPr>
        <w:t>其中居住用地主要是实现集中建设，改善居民生活条件，减少分散性居民点用地，</w:t>
      </w:r>
      <w:r>
        <w:rPr>
          <w:rFonts w:ascii="Times New Roman" w:hAnsi="Times New Roman" w:eastAsia="仿宋_GB2312"/>
          <w:color w:val="000000" w:themeColor="text1"/>
          <w:sz w:val="28"/>
        </w:rPr>
        <w:t>促进片区功能调整</w:t>
      </w:r>
      <w:r>
        <w:rPr>
          <w:rFonts w:hint="eastAsia" w:ascii="Times New Roman" w:hAnsi="Times New Roman" w:eastAsia="仿宋_GB2312"/>
          <w:color w:val="000000" w:themeColor="text1"/>
          <w:sz w:val="28"/>
        </w:rPr>
        <w:t>，集约节约用地；</w:t>
      </w:r>
    </w:p>
    <w:p>
      <w:pPr>
        <w:pStyle w:val="7"/>
        <w:ind w:firstLine="560"/>
      </w:pPr>
      <w:r>
        <w:rPr>
          <w:rFonts w:hint="eastAsia" w:ascii="Times New Roman" w:hAnsi="Times New Roman" w:eastAsia="仿宋_GB2312"/>
          <w:color w:val="000000" w:themeColor="text1"/>
          <w:sz w:val="28"/>
        </w:rPr>
        <w:t>绿地与广场用地、水域及特殊用地主要是</w:t>
      </w:r>
      <w:r>
        <w:rPr>
          <w:rFonts w:ascii="Times New Roman" w:hAnsi="Times New Roman" w:eastAsia="仿宋_GB2312"/>
          <w:color w:val="000000" w:themeColor="text1"/>
          <w:sz w:val="28"/>
        </w:rPr>
        <w:t>构建公园形态与城市空间有机融合、生产生活生态空间相宜、人城境业高度和谐的空间格局</w:t>
      </w:r>
      <w:r>
        <w:rPr>
          <w:rFonts w:hint="eastAsia" w:ascii="Times New Roman" w:hAnsi="Times New Roman" w:eastAsia="仿宋_GB2312"/>
          <w:color w:val="000000" w:themeColor="text1"/>
          <w:sz w:val="28"/>
        </w:rPr>
        <w:t>，提升</w:t>
      </w:r>
      <w:r>
        <w:rPr>
          <w:rFonts w:ascii="Times New Roman" w:hAnsi="Times New Roman" w:eastAsia="仿宋_GB2312"/>
          <w:color w:val="000000" w:themeColor="text1"/>
          <w:sz w:val="28"/>
        </w:rPr>
        <w:t>居民公共空间功能。</w:t>
      </w:r>
    </w:p>
    <w:p>
      <w:pPr>
        <w:pStyle w:val="2"/>
        <w:spacing w:line="240" w:lineRule="auto"/>
        <w:ind w:left="0" w:firstLine="640" w:firstLineChars="200"/>
        <w:rPr>
          <w:rFonts w:ascii="Times New Roman" w:hAnsi="Times New Roman" w:eastAsia="黑体"/>
          <w:b w:val="0"/>
          <w:bCs w:val="0"/>
          <w:sz w:val="32"/>
          <w:szCs w:val="32"/>
        </w:rPr>
      </w:pPr>
      <w:r>
        <w:rPr>
          <w:rFonts w:hint="eastAsia" w:ascii="Times New Roman" w:hAnsi="Times New Roman" w:eastAsia="黑体"/>
          <w:b w:val="0"/>
          <w:bCs w:val="0"/>
          <w:sz w:val="32"/>
          <w:szCs w:val="32"/>
        </w:rPr>
        <w:t>六、成片开发计划</w:t>
      </w:r>
    </w:p>
    <w:p>
      <w:pPr>
        <w:spacing w:line="360" w:lineRule="auto"/>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成片开发方案实施期限为两年，项目建设规模可行、内容有保障，采取的节约集约用地措施可行，成片开发计划具备可行性。</w:t>
      </w:r>
    </w:p>
    <w:p>
      <w:pPr>
        <w:pStyle w:val="2"/>
        <w:spacing w:line="240" w:lineRule="auto"/>
        <w:ind w:left="0" w:firstLine="640" w:firstLineChars="200"/>
        <w:rPr>
          <w:rFonts w:ascii="Times New Roman" w:hAnsi="Times New Roman" w:eastAsia="黑体"/>
          <w:b w:val="0"/>
          <w:bCs w:val="0"/>
          <w:sz w:val="32"/>
          <w:szCs w:val="32"/>
        </w:rPr>
      </w:pPr>
      <w:bookmarkStart w:id="7" w:name="_Toc69736470"/>
      <w:r>
        <w:rPr>
          <w:rFonts w:hint="eastAsia" w:ascii="Times New Roman" w:hAnsi="Times New Roman" w:eastAsia="黑体"/>
          <w:b w:val="0"/>
          <w:bCs w:val="0"/>
          <w:sz w:val="32"/>
          <w:szCs w:val="32"/>
        </w:rPr>
        <w:t>七、公益性用地情况</w:t>
      </w:r>
      <w:bookmarkEnd w:id="7"/>
    </w:p>
    <w:p>
      <w:pPr>
        <w:spacing w:line="360" w:lineRule="auto"/>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本片区成片开发方案中涉及公益性用地包括公共管理与公共服务用地和道路用地，合计</w:t>
      </w:r>
      <w:r>
        <w:rPr>
          <w:rFonts w:ascii="Times New Roman" w:hAnsi="Times New Roman" w:eastAsia="仿宋_GB2312" w:cs="仿宋_GB2312"/>
          <w:sz w:val="28"/>
          <w:szCs w:val="28"/>
        </w:rPr>
        <w:t>215.44公顷，占用地总面积的</w:t>
      </w:r>
      <w:r>
        <w:rPr>
          <w:rFonts w:hint="eastAsia" w:ascii="Times New Roman" w:hAnsi="Times New Roman" w:eastAsia="仿宋_GB2312" w:cs="仿宋_GB2312"/>
          <w:sz w:val="28"/>
          <w:szCs w:val="28"/>
        </w:rPr>
        <w:t>41.17</w:t>
      </w:r>
      <w:r>
        <w:rPr>
          <w:rFonts w:ascii="Times New Roman" w:hAnsi="Times New Roman" w:eastAsia="仿宋_GB2312" w:cs="仿宋_GB2312"/>
          <w:sz w:val="28"/>
          <w:szCs w:val="28"/>
        </w:rPr>
        <w:t>％</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符合赣府厅发〔2021〕2号文规定</w:t>
      </w:r>
      <w:r>
        <w:rPr>
          <w:rFonts w:hint="eastAsia" w:ascii="Times New Roman" w:hAnsi="Times New Roman" w:eastAsia="仿宋_GB2312" w:cs="仿宋_GB2312"/>
          <w:kern w:val="0"/>
          <w:sz w:val="28"/>
          <w:szCs w:val="28"/>
        </w:rPr>
        <w:t>。</w:t>
      </w:r>
    </w:p>
    <w:p>
      <w:pPr>
        <w:pStyle w:val="2"/>
        <w:spacing w:line="240" w:lineRule="auto"/>
        <w:ind w:left="0" w:firstLine="640" w:firstLineChars="200"/>
        <w:rPr>
          <w:rFonts w:ascii="Times New Roman" w:hAnsi="Times New Roman" w:eastAsia="黑体"/>
          <w:b w:val="0"/>
          <w:bCs w:val="0"/>
          <w:sz w:val="32"/>
          <w:szCs w:val="32"/>
        </w:rPr>
      </w:pPr>
      <w:bookmarkStart w:id="8" w:name="_Toc69736471"/>
      <w:r>
        <w:rPr>
          <w:rFonts w:hint="eastAsia" w:ascii="Times New Roman" w:hAnsi="Times New Roman" w:eastAsia="黑体"/>
          <w:b w:val="0"/>
          <w:bCs w:val="0"/>
          <w:sz w:val="32"/>
          <w:szCs w:val="32"/>
        </w:rPr>
        <w:t>八、</w:t>
      </w:r>
      <w:bookmarkEnd w:id="8"/>
      <w:r>
        <w:rPr>
          <w:rFonts w:hint="eastAsia" w:ascii="Times New Roman" w:hAnsi="Times New Roman" w:eastAsia="黑体"/>
          <w:b w:val="0"/>
          <w:bCs w:val="0"/>
          <w:sz w:val="32"/>
          <w:szCs w:val="32"/>
        </w:rPr>
        <w:t>成片开发的土地利用及经济、社会、生态效益</w:t>
      </w:r>
    </w:p>
    <w:p>
      <w:pPr>
        <w:spacing w:line="360" w:lineRule="auto"/>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成片开发方案科学确定了年度成片开发的规模、用途及规划强度，有利于强化规划的引领作用，有利于优化土地利用空间格局，因地制宜配置用地，充分发挥土地要素在</w:t>
      </w:r>
      <w:r>
        <w:rPr>
          <w:rFonts w:hint="eastAsia" w:ascii="Times New Roman" w:hAnsi="Times New Roman" w:eastAsia="仿宋_GB2312"/>
          <w:sz w:val="28"/>
          <w:szCs w:val="28"/>
        </w:rPr>
        <w:t>向塘片区</w:t>
      </w:r>
      <w:r>
        <w:rPr>
          <w:rFonts w:hint="eastAsia" w:ascii="Times New Roman" w:hAnsi="Times New Roman" w:eastAsia="仿宋_GB2312" w:cs="仿宋_GB2312"/>
          <w:sz w:val="28"/>
          <w:szCs w:val="28"/>
        </w:rPr>
        <w:t>建设发展中的作用。</w:t>
      </w:r>
      <w:r>
        <w:rPr>
          <w:rFonts w:hint="eastAsia" w:ascii="Times New Roman" w:hAnsi="Times New Roman" w:eastAsia="仿宋_GB2312" w:cs="Times New Roman"/>
          <w:sz w:val="28"/>
          <w:szCs w:val="28"/>
        </w:rPr>
        <w:t>项目区的开发建设具有良好的经济效益，能够</w:t>
      </w:r>
      <w:r>
        <w:rPr>
          <w:rFonts w:ascii="Times New Roman" w:hAnsi="Times New Roman" w:eastAsia="仿宋_GB2312" w:cs="仿宋_GB2312"/>
          <w:sz w:val="28"/>
          <w:szCs w:val="28"/>
        </w:rPr>
        <w:t>带动</w:t>
      </w:r>
      <w:r>
        <w:rPr>
          <w:rFonts w:hint="eastAsia" w:ascii="Times New Roman" w:hAnsi="Times New Roman" w:eastAsia="仿宋_GB2312" w:cs="仿宋_GB2312"/>
          <w:sz w:val="28"/>
          <w:szCs w:val="28"/>
        </w:rPr>
        <w:t>物流产业园建设</w:t>
      </w:r>
      <w:r>
        <w:rPr>
          <w:rFonts w:ascii="Times New Roman" w:hAnsi="Times New Roman" w:eastAsia="仿宋_GB2312" w:cs="仿宋_GB2312"/>
          <w:sz w:val="28"/>
          <w:szCs w:val="28"/>
        </w:rPr>
        <w:t>，</w:t>
      </w:r>
      <w:r>
        <w:rPr>
          <w:rFonts w:hint="eastAsia" w:ascii="Times New Roman" w:hAnsi="Times New Roman" w:eastAsia="仿宋_GB2312" w:cs="Times New Roman"/>
          <w:sz w:val="28"/>
          <w:szCs w:val="28"/>
        </w:rPr>
        <w:t>带动当地就业</w:t>
      </w:r>
      <w:r>
        <w:rPr>
          <w:rFonts w:hint="eastAsia" w:ascii="Times New Roman" w:hAnsi="Times New Roman" w:eastAsia="仿宋_GB2312" w:cs="仿宋_GB2312"/>
          <w:sz w:val="28"/>
          <w:szCs w:val="28"/>
        </w:rPr>
        <w:t>、</w:t>
      </w:r>
      <w:r>
        <w:rPr>
          <w:rFonts w:hint="eastAsia" w:ascii="Times New Roman" w:hAnsi="Times New Roman" w:eastAsia="仿宋_GB2312" w:cs="Times New Roman"/>
          <w:sz w:val="28"/>
          <w:szCs w:val="28"/>
        </w:rPr>
        <w:t>提升居民生活水平，同时</w:t>
      </w:r>
      <w:r>
        <w:rPr>
          <w:rFonts w:hint="eastAsia" w:ascii="Times New Roman" w:hAnsi="Times New Roman" w:eastAsia="仿宋_GB2312" w:cs="仿宋_GB2312"/>
          <w:sz w:val="28"/>
          <w:szCs w:val="28"/>
        </w:rPr>
        <w:t>改善人居环境，</w:t>
      </w:r>
      <w:r>
        <w:rPr>
          <w:rFonts w:hint="eastAsia" w:ascii="Times New Roman" w:hAnsi="Times New Roman" w:eastAsia="仿宋_GB2312" w:cs="仿宋_GB2312"/>
          <w:kern w:val="0"/>
          <w:sz w:val="28"/>
          <w:szCs w:val="28"/>
        </w:rPr>
        <w:t>增强</w:t>
      </w:r>
      <w:r>
        <w:rPr>
          <w:rFonts w:hint="eastAsia" w:ascii="Times New Roman" w:hAnsi="Times New Roman" w:eastAsia="仿宋_GB2312" w:cs="仿宋_GB2312"/>
          <w:sz w:val="28"/>
          <w:szCs w:val="28"/>
        </w:rPr>
        <w:t>城镇吸引力。</w:t>
      </w:r>
    </w:p>
    <w:p>
      <w:pPr>
        <w:pStyle w:val="2"/>
        <w:spacing w:line="240" w:lineRule="auto"/>
        <w:ind w:left="0" w:firstLine="640" w:firstLineChars="200"/>
        <w:rPr>
          <w:rFonts w:ascii="Times New Roman" w:hAnsi="Times New Roman" w:eastAsia="黑体"/>
          <w:b w:val="0"/>
          <w:bCs w:val="0"/>
          <w:sz w:val="32"/>
          <w:szCs w:val="32"/>
        </w:rPr>
      </w:pPr>
      <w:r>
        <w:rPr>
          <w:rFonts w:hint="eastAsia" w:ascii="Times New Roman" w:hAnsi="Times New Roman" w:eastAsia="黑体"/>
          <w:b w:val="0"/>
          <w:bCs w:val="0"/>
          <w:sz w:val="32"/>
          <w:szCs w:val="32"/>
        </w:rPr>
        <w:t>九、结论</w:t>
      </w:r>
    </w:p>
    <w:p>
      <w:pPr>
        <w:spacing w:line="360" w:lineRule="auto"/>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该方案符合《自然资源部关于印发</w:t>
      </w:r>
      <w:r>
        <w:rPr>
          <w:rFonts w:ascii="Times New Roman" w:hAnsi="Times New Roman" w:eastAsia="仿宋_GB2312" w:cs="仿宋_GB2312"/>
          <w:sz w:val="28"/>
          <w:szCs w:val="28"/>
        </w:rPr>
        <w:t>&lt;土地征收成片开发标准（试行）&gt;的通知》（自然资规〔2020〕5号）和《江西省人民政府办公厅关于执行土地征收成片开发标准(试行)的指导意见》（赣府厅发〔2021〕2号）</w:t>
      </w:r>
      <w:r>
        <w:rPr>
          <w:rFonts w:hint="eastAsia" w:ascii="Times New Roman" w:hAnsi="Times New Roman" w:eastAsia="仿宋_GB2312" w:cs="仿宋_GB2312"/>
          <w:sz w:val="28"/>
          <w:szCs w:val="28"/>
        </w:rPr>
        <w:t>，总体可行</w:t>
      </w:r>
      <w:r>
        <w:rPr>
          <w:rFonts w:ascii="Times New Roman" w:hAnsi="Times New Roman" w:eastAsia="仿宋_GB2312" w:cs="仿宋_GB2312"/>
          <w:sz w:val="28"/>
          <w:szCs w:val="28"/>
        </w:rPr>
        <w:t>。</w:t>
      </w:r>
    </w:p>
    <w:p>
      <w:pPr>
        <w:rPr>
          <w:rFonts w:ascii="Times New Roman" w:hAnsi="Times New Roman" w:eastAsia="仿宋_GB2312" w:cs="仿宋_GB2312"/>
          <w:kern w:val="0"/>
          <w:sz w:val="28"/>
          <w:szCs w:val="28"/>
        </w:rPr>
        <w:sectPr>
          <w:footerReference r:id="rId3" w:type="default"/>
          <w:pgSz w:w="11906" w:h="16838"/>
          <w:pgMar w:top="1440" w:right="1800" w:bottom="1440" w:left="1800" w:header="851" w:footer="992" w:gutter="0"/>
          <w:pgNumType w:start="1"/>
          <w:cols w:space="425" w:num="1"/>
          <w:docGrid w:type="lines" w:linePitch="312" w:charSpace="0"/>
        </w:sectPr>
      </w:pPr>
    </w:p>
    <w:p>
      <w:pPr>
        <w:jc w:val="center"/>
        <w:rPr>
          <w:rFonts w:ascii="Times New Roman" w:hAnsi="Times New Roman" w:eastAsia="仿宋_GB2312" w:cs="仿宋_GB2312"/>
          <w:kern w:val="0"/>
          <w:sz w:val="28"/>
          <w:szCs w:val="28"/>
        </w:rPr>
      </w:pPr>
      <w:r>
        <w:rPr>
          <w:rFonts w:ascii="Times New Roman" w:hAnsi="Times New Roman" w:eastAsia="仿宋_GB2312" w:cs="仿宋_GB2312"/>
          <w:kern w:val="0"/>
          <w:sz w:val="28"/>
          <w:szCs w:val="28"/>
        </w:rPr>
        <w:pict>
          <v:shape id="_x0000_s1026" o:spid="_x0000_s1026" o:spt="202" type="#_x0000_t202" style="position:absolute;left:0pt;margin-left:0pt;margin-top:-29.3pt;height:32.25pt;width:47.35pt;mso-position-horizontal-relative:margin;mso-wrap-distance-bottom:3.6pt;mso-wrap-distance-left:9pt;mso-wrap-distance-right:9pt;mso-wrap-distance-top:3.6pt;z-index:2516592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">
            <v:path/>
            <v:fill focussize="0,0"/>
            <v:stroke color="#FFFFFF" joinstyle="miter"/>
            <v:imagedata o:title=""/>
            <o:lock v:ext="edit"/>
            <v:textbox>
              <w:txbxContent>
                <w:p>
                  <w:pPr>
                    <w:adjustRightInd w:val="0"/>
                    <w:jc w:val="center"/>
                    <w:rPr>
                      <w:rFonts w:ascii="黑体" w:hAnsi="黑体" w:eastAsia="黑体"/>
                      <w:b/>
                      <w:bCs/>
                      <w:sz w:val="32"/>
                      <w:szCs w:val="32"/>
                    </w:rPr>
                  </w:pPr>
                  <w:r>
                    <w:rPr>
                      <w:rFonts w:hint="eastAsia" w:ascii="黑体" w:hAnsi="黑体" w:eastAsia="黑体"/>
                      <w:b/>
                      <w:bCs/>
                      <w:sz w:val="32"/>
                      <w:szCs w:val="32"/>
                    </w:rPr>
                    <w:t>附图</w:t>
                  </w:r>
                </w:p>
              </w:txbxContent>
            </v:textbox>
            <w10:wrap type="square"/>
          </v:shape>
        </w:pict>
      </w:r>
      <w:r>
        <w:rPr>
          <w:rFonts w:ascii="Times New Roman" w:hAnsi="Times New Roman" w:eastAsia="仿宋_GB2312" w:cs="仿宋_GB2312"/>
          <w:kern w:val="0"/>
          <w:sz w:val="28"/>
          <w:szCs w:val="28"/>
        </w:rPr>
        <w:drawing>
          <wp:inline distT="0" distB="0" distL="0" distR="0">
            <wp:extent cx="11892280" cy="84093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92310" cy="8409938"/>
                    </a:xfrm>
                    <a:prstGeom prst="rect">
                      <a:avLst/>
                    </a:prstGeom>
                    <a:noFill/>
                    <a:ln>
                      <a:noFill/>
                    </a:ln>
                  </pic:spPr>
                </pic:pic>
              </a:graphicData>
            </a:graphic>
          </wp:inline>
        </w:drawing>
      </w:r>
    </w:p>
    <w:p>
      <w:pPr>
        <w:jc w:val="center"/>
        <w:rPr>
          <w:rFonts w:ascii="Times New Roman" w:hAnsi="Times New Roman" w:eastAsia="仿宋_GB2312" w:cs="仿宋_GB2312"/>
          <w:kern w:val="0"/>
          <w:sz w:val="28"/>
          <w:szCs w:val="28"/>
        </w:rPr>
      </w:pPr>
      <w:r>
        <w:rPr>
          <w:rFonts w:ascii="Times New Roman" w:hAnsi="Times New Roman" w:eastAsia="仿宋_GB2312" w:cs="仿宋_GB2312"/>
          <w:kern w:val="0"/>
          <w:sz w:val="28"/>
          <w:szCs w:val="28"/>
        </w:rPr>
        <w:drawing>
          <wp:inline distT="0" distB="0" distL="0" distR="0">
            <wp:extent cx="11879580" cy="84004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79739" cy="8401048"/>
                    </a:xfrm>
                    <a:prstGeom prst="rect">
                      <a:avLst/>
                    </a:prstGeom>
                    <a:noFill/>
                    <a:ln>
                      <a:noFill/>
                    </a:ln>
                  </pic:spPr>
                </pic:pic>
              </a:graphicData>
            </a:graphic>
          </wp:inline>
        </w:drawing>
      </w:r>
      <w:r>
        <w:rPr>
          <w:rFonts w:ascii="Times New Roman" w:hAnsi="Times New Roman" w:eastAsia="仿宋_GB2312" w:cs="仿宋_GB2312"/>
          <w:kern w:val="0"/>
          <w:sz w:val="28"/>
          <w:szCs w:val="28"/>
        </w:rPr>
        <w:drawing>
          <wp:inline distT="0" distB="0" distL="0" distR="0">
            <wp:extent cx="11879580" cy="84004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79735" cy="8401046"/>
                    </a:xfrm>
                    <a:prstGeom prst="rect">
                      <a:avLst/>
                    </a:prstGeom>
                    <a:noFill/>
                    <a:ln>
                      <a:noFill/>
                    </a:ln>
                  </pic:spPr>
                </pic:pic>
              </a:graphicData>
            </a:graphic>
          </wp:inline>
        </w:drawing>
      </w:r>
    </w:p>
    <w:sectPr>
      <w:pgSz w:w="23811" w:h="16838" w:orient="landscape"/>
      <w:pgMar w:top="1797" w:right="1440" w:bottom="179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0252574"/>
    </w:sdtPr>
    <w:sdtContent>
      <w:p>
        <w:pPr>
          <w:pStyle w:val="9"/>
          <w:jc w:val="center"/>
        </w:pPr>
        <w:r>
          <w:fldChar w:fldCharType="begin"/>
        </w:r>
        <w:r>
          <w:instrText xml:space="preserve">PAGE   \* MERGEFORMAT</w:instrText>
        </w:r>
        <w:r>
          <w:fldChar w:fldCharType="separate"/>
        </w:r>
        <w:r>
          <w:rPr>
            <w:lang w:val="zh-CN"/>
          </w:rPr>
          <w:t>8</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A7863"/>
    <w:rsid w:val="00002990"/>
    <w:rsid w:val="00003D37"/>
    <w:rsid w:val="0000457F"/>
    <w:rsid w:val="00006A39"/>
    <w:rsid w:val="00020CE6"/>
    <w:rsid w:val="00021358"/>
    <w:rsid w:val="0002636E"/>
    <w:rsid w:val="00034D98"/>
    <w:rsid w:val="00035302"/>
    <w:rsid w:val="00044CF4"/>
    <w:rsid w:val="0004620D"/>
    <w:rsid w:val="0004666E"/>
    <w:rsid w:val="00050931"/>
    <w:rsid w:val="00050C28"/>
    <w:rsid w:val="00055F67"/>
    <w:rsid w:val="00060E47"/>
    <w:rsid w:val="00064FD9"/>
    <w:rsid w:val="00071B2D"/>
    <w:rsid w:val="000721EE"/>
    <w:rsid w:val="00075EBC"/>
    <w:rsid w:val="000812B6"/>
    <w:rsid w:val="00081EE2"/>
    <w:rsid w:val="00084F32"/>
    <w:rsid w:val="00085A6C"/>
    <w:rsid w:val="0008792B"/>
    <w:rsid w:val="00095539"/>
    <w:rsid w:val="00095B8B"/>
    <w:rsid w:val="000A0D26"/>
    <w:rsid w:val="000A1077"/>
    <w:rsid w:val="000A13C1"/>
    <w:rsid w:val="000A1658"/>
    <w:rsid w:val="000A425E"/>
    <w:rsid w:val="000A60A2"/>
    <w:rsid w:val="000B193E"/>
    <w:rsid w:val="000B2666"/>
    <w:rsid w:val="000C0CFE"/>
    <w:rsid w:val="000C761A"/>
    <w:rsid w:val="000C7AC1"/>
    <w:rsid w:val="000D2683"/>
    <w:rsid w:val="000D53B3"/>
    <w:rsid w:val="000E43F0"/>
    <w:rsid w:val="00100D8D"/>
    <w:rsid w:val="00100EE0"/>
    <w:rsid w:val="00101DB0"/>
    <w:rsid w:val="00102897"/>
    <w:rsid w:val="00102D04"/>
    <w:rsid w:val="001062CD"/>
    <w:rsid w:val="0010659D"/>
    <w:rsid w:val="00112F50"/>
    <w:rsid w:val="00114B9D"/>
    <w:rsid w:val="00116210"/>
    <w:rsid w:val="001331DA"/>
    <w:rsid w:val="001334DD"/>
    <w:rsid w:val="0013650F"/>
    <w:rsid w:val="00141D48"/>
    <w:rsid w:val="00150D9A"/>
    <w:rsid w:val="00152203"/>
    <w:rsid w:val="00153287"/>
    <w:rsid w:val="0016462A"/>
    <w:rsid w:val="00167A76"/>
    <w:rsid w:val="00172115"/>
    <w:rsid w:val="001746AF"/>
    <w:rsid w:val="001777DC"/>
    <w:rsid w:val="00180960"/>
    <w:rsid w:val="0018342C"/>
    <w:rsid w:val="001936E2"/>
    <w:rsid w:val="00194C52"/>
    <w:rsid w:val="00196223"/>
    <w:rsid w:val="00197248"/>
    <w:rsid w:val="001A0411"/>
    <w:rsid w:val="001A1140"/>
    <w:rsid w:val="001A13B0"/>
    <w:rsid w:val="001A57E9"/>
    <w:rsid w:val="001A7845"/>
    <w:rsid w:val="001B0804"/>
    <w:rsid w:val="001B43BB"/>
    <w:rsid w:val="001C1906"/>
    <w:rsid w:val="001C6D7B"/>
    <w:rsid w:val="001C7025"/>
    <w:rsid w:val="001D0CE8"/>
    <w:rsid w:val="001D0FFA"/>
    <w:rsid w:val="001D21B3"/>
    <w:rsid w:val="001D228A"/>
    <w:rsid w:val="001D4B1D"/>
    <w:rsid w:val="001D5874"/>
    <w:rsid w:val="001E541C"/>
    <w:rsid w:val="001E6B39"/>
    <w:rsid w:val="001F05B5"/>
    <w:rsid w:val="001F106E"/>
    <w:rsid w:val="001F4DF9"/>
    <w:rsid w:val="001F692B"/>
    <w:rsid w:val="002032B3"/>
    <w:rsid w:val="00203630"/>
    <w:rsid w:val="00217520"/>
    <w:rsid w:val="002200DF"/>
    <w:rsid w:val="00226DF5"/>
    <w:rsid w:val="0022743E"/>
    <w:rsid w:val="002378EE"/>
    <w:rsid w:val="00237C7B"/>
    <w:rsid w:val="002433AE"/>
    <w:rsid w:val="00246E08"/>
    <w:rsid w:val="00257982"/>
    <w:rsid w:val="002601E3"/>
    <w:rsid w:val="00262CBB"/>
    <w:rsid w:val="00265FC8"/>
    <w:rsid w:val="00270D34"/>
    <w:rsid w:val="00271387"/>
    <w:rsid w:val="00273723"/>
    <w:rsid w:val="00274DD8"/>
    <w:rsid w:val="0027500C"/>
    <w:rsid w:val="00277468"/>
    <w:rsid w:val="0028000A"/>
    <w:rsid w:val="00283954"/>
    <w:rsid w:val="00283E5A"/>
    <w:rsid w:val="00284164"/>
    <w:rsid w:val="00284D80"/>
    <w:rsid w:val="002853A5"/>
    <w:rsid w:val="00287056"/>
    <w:rsid w:val="0028762C"/>
    <w:rsid w:val="002905B6"/>
    <w:rsid w:val="00290795"/>
    <w:rsid w:val="00295AE7"/>
    <w:rsid w:val="00297F13"/>
    <w:rsid w:val="002A089A"/>
    <w:rsid w:val="002A1B28"/>
    <w:rsid w:val="002A27C1"/>
    <w:rsid w:val="002A2CE0"/>
    <w:rsid w:val="002A4A40"/>
    <w:rsid w:val="002A7409"/>
    <w:rsid w:val="002B113E"/>
    <w:rsid w:val="002B6D07"/>
    <w:rsid w:val="002C03E3"/>
    <w:rsid w:val="002C4583"/>
    <w:rsid w:val="002C6ED2"/>
    <w:rsid w:val="002D07C0"/>
    <w:rsid w:val="002D5095"/>
    <w:rsid w:val="002D5AF4"/>
    <w:rsid w:val="002D745B"/>
    <w:rsid w:val="002D7C48"/>
    <w:rsid w:val="002E1D30"/>
    <w:rsid w:val="002F040A"/>
    <w:rsid w:val="002F7C84"/>
    <w:rsid w:val="003021A4"/>
    <w:rsid w:val="00305C47"/>
    <w:rsid w:val="003077B3"/>
    <w:rsid w:val="00314EAD"/>
    <w:rsid w:val="00317F1B"/>
    <w:rsid w:val="00322345"/>
    <w:rsid w:val="0032544F"/>
    <w:rsid w:val="003304C8"/>
    <w:rsid w:val="00331593"/>
    <w:rsid w:val="003356B4"/>
    <w:rsid w:val="003370D7"/>
    <w:rsid w:val="00347FC8"/>
    <w:rsid w:val="00353F95"/>
    <w:rsid w:val="00354113"/>
    <w:rsid w:val="00360F2C"/>
    <w:rsid w:val="00362914"/>
    <w:rsid w:val="003644D5"/>
    <w:rsid w:val="00366272"/>
    <w:rsid w:val="00366B44"/>
    <w:rsid w:val="00367716"/>
    <w:rsid w:val="00374380"/>
    <w:rsid w:val="00377A59"/>
    <w:rsid w:val="00380125"/>
    <w:rsid w:val="00380DAF"/>
    <w:rsid w:val="00384B05"/>
    <w:rsid w:val="00386887"/>
    <w:rsid w:val="00391A4C"/>
    <w:rsid w:val="00392B93"/>
    <w:rsid w:val="00394689"/>
    <w:rsid w:val="003A0CF6"/>
    <w:rsid w:val="003A357A"/>
    <w:rsid w:val="003B0E72"/>
    <w:rsid w:val="003C2F42"/>
    <w:rsid w:val="003C4345"/>
    <w:rsid w:val="003C69F4"/>
    <w:rsid w:val="003D20B4"/>
    <w:rsid w:val="003D48BB"/>
    <w:rsid w:val="003D666F"/>
    <w:rsid w:val="003E0B1E"/>
    <w:rsid w:val="003E3287"/>
    <w:rsid w:val="003F0A1D"/>
    <w:rsid w:val="003F1AA7"/>
    <w:rsid w:val="003F3EF1"/>
    <w:rsid w:val="003F6FBA"/>
    <w:rsid w:val="003F709D"/>
    <w:rsid w:val="00403223"/>
    <w:rsid w:val="00405A4E"/>
    <w:rsid w:val="00405D7E"/>
    <w:rsid w:val="00406171"/>
    <w:rsid w:val="0041053E"/>
    <w:rsid w:val="00414551"/>
    <w:rsid w:val="00416DB3"/>
    <w:rsid w:val="004244B6"/>
    <w:rsid w:val="00442B8A"/>
    <w:rsid w:val="00442BBF"/>
    <w:rsid w:val="00446869"/>
    <w:rsid w:val="004515A8"/>
    <w:rsid w:val="004540CD"/>
    <w:rsid w:val="00456AA6"/>
    <w:rsid w:val="00456E8B"/>
    <w:rsid w:val="004665E4"/>
    <w:rsid w:val="004675EB"/>
    <w:rsid w:val="004715DC"/>
    <w:rsid w:val="00473D1F"/>
    <w:rsid w:val="00474149"/>
    <w:rsid w:val="004753FA"/>
    <w:rsid w:val="00475C4F"/>
    <w:rsid w:val="00491814"/>
    <w:rsid w:val="00493D35"/>
    <w:rsid w:val="0049467C"/>
    <w:rsid w:val="00494BB5"/>
    <w:rsid w:val="00496A29"/>
    <w:rsid w:val="004A0ED3"/>
    <w:rsid w:val="004A1F88"/>
    <w:rsid w:val="004A2E08"/>
    <w:rsid w:val="004A3BC9"/>
    <w:rsid w:val="004B0BC6"/>
    <w:rsid w:val="004B4DF4"/>
    <w:rsid w:val="004C094A"/>
    <w:rsid w:val="004C26A9"/>
    <w:rsid w:val="004C3598"/>
    <w:rsid w:val="004C4E1C"/>
    <w:rsid w:val="004D117D"/>
    <w:rsid w:val="004D1F43"/>
    <w:rsid w:val="004D4077"/>
    <w:rsid w:val="004D6877"/>
    <w:rsid w:val="004D6AAB"/>
    <w:rsid w:val="004E1B5D"/>
    <w:rsid w:val="004E6FE3"/>
    <w:rsid w:val="004E7688"/>
    <w:rsid w:val="004F245D"/>
    <w:rsid w:val="004F587F"/>
    <w:rsid w:val="004F7BEC"/>
    <w:rsid w:val="005030BD"/>
    <w:rsid w:val="005036B8"/>
    <w:rsid w:val="00504C3A"/>
    <w:rsid w:val="00505813"/>
    <w:rsid w:val="0050758F"/>
    <w:rsid w:val="00515173"/>
    <w:rsid w:val="0052281B"/>
    <w:rsid w:val="00540931"/>
    <w:rsid w:val="00540E2E"/>
    <w:rsid w:val="00543056"/>
    <w:rsid w:val="00543B46"/>
    <w:rsid w:val="00544B3E"/>
    <w:rsid w:val="00545B1A"/>
    <w:rsid w:val="00552936"/>
    <w:rsid w:val="0055484E"/>
    <w:rsid w:val="005566FE"/>
    <w:rsid w:val="00556FD9"/>
    <w:rsid w:val="005570D2"/>
    <w:rsid w:val="0056061C"/>
    <w:rsid w:val="00573261"/>
    <w:rsid w:val="00573D0F"/>
    <w:rsid w:val="005743B1"/>
    <w:rsid w:val="00576089"/>
    <w:rsid w:val="00576531"/>
    <w:rsid w:val="00581C33"/>
    <w:rsid w:val="00584203"/>
    <w:rsid w:val="00586EF0"/>
    <w:rsid w:val="00590C44"/>
    <w:rsid w:val="005A31A1"/>
    <w:rsid w:val="005A4265"/>
    <w:rsid w:val="005A77D5"/>
    <w:rsid w:val="005B70B0"/>
    <w:rsid w:val="005B73CE"/>
    <w:rsid w:val="005B792B"/>
    <w:rsid w:val="005B7CC5"/>
    <w:rsid w:val="005C1497"/>
    <w:rsid w:val="005C2568"/>
    <w:rsid w:val="005C2BC7"/>
    <w:rsid w:val="005C321B"/>
    <w:rsid w:val="005C6E6D"/>
    <w:rsid w:val="005D3BDD"/>
    <w:rsid w:val="005D4FC4"/>
    <w:rsid w:val="005D5C03"/>
    <w:rsid w:val="005E1B3B"/>
    <w:rsid w:val="005E77F4"/>
    <w:rsid w:val="005F08A0"/>
    <w:rsid w:val="005F15C8"/>
    <w:rsid w:val="005F1A4A"/>
    <w:rsid w:val="005F5CFB"/>
    <w:rsid w:val="005F68D2"/>
    <w:rsid w:val="00607182"/>
    <w:rsid w:val="00607541"/>
    <w:rsid w:val="006111C0"/>
    <w:rsid w:val="0061135A"/>
    <w:rsid w:val="006136A8"/>
    <w:rsid w:val="006213D9"/>
    <w:rsid w:val="00624472"/>
    <w:rsid w:val="006260DE"/>
    <w:rsid w:val="00626CAA"/>
    <w:rsid w:val="00627EF1"/>
    <w:rsid w:val="00630EE8"/>
    <w:rsid w:val="0063310B"/>
    <w:rsid w:val="00633F60"/>
    <w:rsid w:val="0063572A"/>
    <w:rsid w:val="0063693F"/>
    <w:rsid w:val="00637347"/>
    <w:rsid w:val="006407BB"/>
    <w:rsid w:val="00640947"/>
    <w:rsid w:val="006414B2"/>
    <w:rsid w:val="00644E65"/>
    <w:rsid w:val="00645927"/>
    <w:rsid w:val="006461AC"/>
    <w:rsid w:val="006465B3"/>
    <w:rsid w:val="00652FF3"/>
    <w:rsid w:val="006530A8"/>
    <w:rsid w:val="006572BE"/>
    <w:rsid w:val="0065741B"/>
    <w:rsid w:val="006574A9"/>
    <w:rsid w:val="006577A3"/>
    <w:rsid w:val="00660A98"/>
    <w:rsid w:val="0066320F"/>
    <w:rsid w:val="00672A51"/>
    <w:rsid w:val="00672D46"/>
    <w:rsid w:val="00673E91"/>
    <w:rsid w:val="006830EC"/>
    <w:rsid w:val="00684295"/>
    <w:rsid w:val="006936EB"/>
    <w:rsid w:val="006941DC"/>
    <w:rsid w:val="00694CFA"/>
    <w:rsid w:val="006A21F4"/>
    <w:rsid w:val="006A2242"/>
    <w:rsid w:val="006A49BA"/>
    <w:rsid w:val="006B0BDB"/>
    <w:rsid w:val="006B6F27"/>
    <w:rsid w:val="006C122E"/>
    <w:rsid w:val="006C47BA"/>
    <w:rsid w:val="006C51B3"/>
    <w:rsid w:val="006C6408"/>
    <w:rsid w:val="006C68EA"/>
    <w:rsid w:val="006D49E9"/>
    <w:rsid w:val="006E0F99"/>
    <w:rsid w:val="006E0FAF"/>
    <w:rsid w:val="006E10EC"/>
    <w:rsid w:val="006E21DF"/>
    <w:rsid w:val="006E6E7F"/>
    <w:rsid w:val="006E7441"/>
    <w:rsid w:val="006F6C32"/>
    <w:rsid w:val="006F71B7"/>
    <w:rsid w:val="00704AA6"/>
    <w:rsid w:val="007112E0"/>
    <w:rsid w:val="00713B40"/>
    <w:rsid w:val="00715B6E"/>
    <w:rsid w:val="007169F3"/>
    <w:rsid w:val="00722A70"/>
    <w:rsid w:val="007241C6"/>
    <w:rsid w:val="00726291"/>
    <w:rsid w:val="007271FD"/>
    <w:rsid w:val="007274E8"/>
    <w:rsid w:val="0072786C"/>
    <w:rsid w:val="00733AD7"/>
    <w:rsid w:val="007342AF"/>
    <w:rsid w:val="00736833"/>
    <w:rsid w:val="00737969"/>
    <w:rsid w:val="007406D9"/>
    <w:rsid w:val="00742A02"/>
    <w:rsid w:val="00745384"/>
    <w:rsid w:val="00746B19"/>
    <w:rsid w:val="007522F3"/>
    <w:rsid w:val="00753CC2"/>
    <w:rsid w:val="00753CED"/>
    <w:rsid w:val="007540AA"/>
    <w:rsid w:val="007552DE"/>
    <w:rsid w:val="007628DA"/>
    <w:rsid w:val="00763F99"/>
    <w:rsid w:val="00767C44"/>
    <w:rsid w:val="00767E8D"/>
    <w:rsid w:val="00770DE3"/>
    <w:rsid w:val="007729B0"/>
    <w:rsid w:val="00772E6F"/>
    <w:rsid w:val="00775D76"/>
    <w:rsid w:val="00781E9A"/>
    <w:rsid w:val="00791C74"/>
    <w:rsid w:val="007925C7"/>
    <w:rsid w:val="007A6269"/>
    <w:rsid w:val="007B1462"/>
    <w:rsid w:val="007B510D"/>
    <w:rsid w:val="007B68C1"/>
    <w:rsid w:val="007C21C5"/>
    <w:rsid w:val="007C317B"/>
    <w:rsid w:val="007C64A7"/>
    <w:rsid w:val="007C758F"/>
    <w:rsid w:val="007D0CBF"/>
    <w:rsid w:val="007D17DB"/>
    <w:rsid w:val="007D3D05"/>
    <w:rsid w:val="007D6D36"/>
    <w:rsid w:val="007E2431"/>
    <w:rsid w:val="007E2559"/>
    <w:rsid w:val="007E2678"/>
    <w:rsid w:val="007E4379"/>
    <w:rsid w:val="007F1209"/>
    <w:rsid w:val="007F1EEE"/>
    <w:rsid w:val="007F275D"/>
    <w:rsid w:val="007F75F2"/>
    <w:rsid w:val="00800EBC"/>
    <w:rsid w:val="00804B1D"/>
    <w:rsid w:val="00805742"/>
    <w:rsid w:val="00805FAB"/>
    <w:rsid w:val="00814563"/>
    <w:rsid w:val="0081581C"/>
    <w:rsid w:val="008217B5"/>
    <w:rsid w:val="00824775"/>
    <w:rsid w:val="0083026C"/>
    <w:rsid w:val="00831BF4"/>
    <w:rsid w:val="00832822"/>
    <w:rsid w:val="0083390C"/>
    <w:rsid w:val="00837F29"/>
    <w:rsid w:val="00842C9F"/>
    <w:rsid w:val="00851839"/>
    <w:rsid w:val="0085219C"/>
    <w:rsid w:val="00852972"/>
    <w:rsid w:val="00853B70"/>
    <w:rsid w:val="008543E3"/>
    <w:rsid w:val="00856C18"/>
    <w:rsid w:val="00861EB8"/>
    <w:rsid w:val="00863A19"/>
    <w:rsid w:val="0086552D"/>
    <w:rsid w:val="00866142"/>
    <w:rsid w:val="008703B3"/>
    <w:rsid w:val="008745FC"/>
    <w:rsid w:val="0088297D"/>
    <w:rsid w:val="00883B91"/>
    <w:rsid w:val="00883E18"/>
    <w:rsid w:val="00890D21"/>
    <w:rsid w:val="00891F47"/>
    <w:rsid w:val="00892A10"/>
    <w:rsid w:val="0089457F"/>
    <w:rsid w:val="008978BF"/>
    <w:rsid w:val="00897A4D"/>
    <w:rsid w:val="008A027B"/>
    <w:rsid w:val="008A265C"/>
    <w:rsid w:val="008A40A8"/>
    <w:rsid w:val="008B00D2"/>
    <w:rsid w:val="008B2C9D"/>
    <w:rsid w:val="008B4603"/>
    <w:rsid w:val="008C0678"/>
    <w:rsid w:val="008C1B92"/>
    <w:rsid w:val="008C3290"/>
    <w:rsid w:val="008C4239"/>
    <w:rsid w:val="008C7BEC"/>
    <w:rsid w:val="008D2C8B"/>
    <w:rsid w:val="008E0456"/>
    <w:rsid w:val="008E09A1"/>
    <w:rsid w:val="008F0C5F"/>
    <w:rsid w:val="008F1072"/>
    <w:rsid w:val="008F3EEF"/>
    <w:rsid w:val="008F60A2"/>
    <w:rsid w:val="0090374B"/>
    <w:rsid w:val="00904A06"/>
    <w:rsid w:val="00915AD7"/>
    <w:rsid w:val="00915E55"/>
    <w:rsid w:val="0091756A"/>
    <w:rsid w:val="00921972"/>
    <w:rsid w:val="00921C67"/>
    <w:rsid w:val="00923D14"/>
    <w:rsid w:val="0092663E"/>
    <w:rsid w:val="009271FE"/>
    <w:rsid w:val="00930369"/>
    <w:rsid w:val="00931319"/>
    <w:rsid w:val="009361CF"/>
    <w:rsid w:val="00943758"/>
    <w:rsid w:val="00944D93"/>
    <w:rsid w:val="009457BD"/>
    <w:rsid w:val="0094625C"/>
    <w:rsid w:val="00950D9E"/>
    <w:rsid w:val="00951987"/>
    <w:rsid w:val="009556F4"/>
    <w:rsid w:val="00955BDE"/>
    <w:rsid w:val="00957C3D"/>
    <w:rsid w:val="00962EBF"/>
    <w:rsid w:val="00964537"/>
    <w:rsid w:val="00967068"/>
    <w:rsid w:val="00972E6B"/>
    <w:rsid w:val="009751CB"/>
    <w:rsid w:val="00977873"/>
    <w:rsid w:val="0098307D"/>
    <w:rsid w:val="00993E5B"/>
    <w:rsid w:val="00997B1C"/>
    <w:rsid w:val="00997ECD"/>
    <w:rsid w:val="009A092C"/>
    <w:rsid w:val="009A0FA7"/>
    <w:rsid w:val="009A2DE2"/>
    <w:rsid w:val="009A599F"/>
    <w:rsid w:val="009A613F"/>
    <w:rsid w:val="009A6364"/>
    <w:rsid w:val="009A6670"/>
    <w:rsid w:val="009B248A"/>
    <w:rsid w:val="009B2D0A"/>
    <w:rsid w:val="009B5B22"/>
    <w:rsid w:val="009B5D7A"/>
    <w:rsid w:val="009B7BBD"/>
    <w:rsid w:val="009C0F08"/>
    <w:rsid w:val="009C106C"/>
    <w:rsid w:val="009C16C6"/>
    <w:rsid w:val="009C35D8"/>
    <w:rsid w:val="009C66C9"/>
    <w:rsid w:val="009D4481"/>
    <w:rsid w:val="009D5448"/>
    <w:rsid w:val="009D5A3B"/>
    <w:rsid w:val="009D6DF0"/>
    <w:rsid w:val="009D759D"/>
    <w:rsid w:val="009E18F8"/>
    <w:rsid w:val="009E347E"/>
    <w:rsid w:val="009E36BB"/>
    <w:rsid w:val="009E36E9"/>
    <w:rsid w:val="009E685E"/>
    <w:rsid w:val="009E7258"/>
    <w:rsid w:val="009F132A"/>
    <w:rsid w:val="009F3A77"/>
    <w:rsid w:val="009F534F"/>
    <w:rsid w:val="009F5D72"/>
    <w:rsid w:val="009F5DE2"/>
    <w:rsid w:val="00A00FAF"/>
    <w:rsid w:val="00A04B32"/>
    <w:rsid w:val="00A05374"/>
    <w:rsid w:val="00A077C5"/>
    <w:rsid w:val="00A170D4"/>
    <w:rsid w:val="00A24AF9"/>
    <w:rsid w:val="00A2590C"/>
    <w:rsid w:val="00A315EA"/>
    <w:rsid w:val="00A319E7"/>
    <w:rsid w:val="00A31B05"/>
    <w:rsid w:val="00A373AA"/>
    <w:rsid w:val="00A42E0A"/>
    <w:rsid w:val="00A440EE"/>
    <w:rsid w:val="00A44CBB"/>
    <w:rsid w:val="00A45917"/>
    <w:rsid w:val="00A47C93"/>
    <w:rsid w:val="00A51BEF"/>
    <w:rsid w:val="00A526CF"/>
    <w:rsid w:val="00A52F46"/>
    <w:rsid w:val="00A533FC"/>
    <w:rsid w:val="00A57FCD"/>
    <w:rsid w:val="00A605DA"/>
    <w:rsid w:val="00A60748"/>
    <w:rsid w:val="00A63F1E"/>
    <w:rsid w:val="00A640DD"/>
    <w:rsid w:val="00A73DE1"/>
    <w:rsid w:val="00A75F4F"/>
    <w:rsid w:val="00A813F2"/>
    <w:rsid w:val="00A8198C"/>
    <w:rsid w:val="00A826CB"/>
    <w:rsid w:val="00A831CC"/>
    <w:rsid w:val="00A83444"/>
    <w:rsid w:val="00A83C0A"/>
    <w:rsid w:val="00A872FB"/>
    <w:rsid w:val="00A90F29"/>
    <w:rsid w:val="00A91705"/>
    <w:rsid w:val="00A94D98"/>
    <w:rsid w:val="00A96ADE"/>
    <w:rsid w:val="00A9779E"/>
    <w:rsid w:val="00AA2478"/>
    <w:rsid w:val="00AA676A"/>
    <w:rsid w:val="00AA7863"/>
    <w:rsid w:val="00AB4CC4"/>
    <w:rsid w:val="00AB644C"/>
    <w:rsid w:val="00AB6B81"/>
    <w:rsid w:val="00AB786F"/>
    <w:rsid w:val="00AC0F08"/>
    <w:rsid w:val="00AC134A"/>
    <w:rsid w:val="00AC390F"/>
    <w:rsid w:val="00AC4F60"/>
    <w:rsid w:val="00AC53E7"/>
    <w:rsid w:val="00AC7C4D"/>
    <w:rsid w:val="00AD3890"/>
    <w:rsid w:val="00AD6CDB"/>
    <w:rsid w:val="00AD77AE"/>
    <w:rsid w:val="00AE4027"/>
    <w:rsid w:val="00AE6FDC"/>
    <w:rsid w:val="00AF2387"/>
    <w:rsid w:val="00AF5FEC"/>
    <w:rsid w:val="00AF7DA7"/>
    <w:rsid w:val="00B00F4E"/>
    <w:rsid w:val="00B0255D"/>
    <w:rsid w:val="00B02BAD"/>
    <w:rsid w:val="00B02E4C"/>
    <w:rsid w:val="00B0492F"/>
    <w:rsid w:val="00B05D7B"/>
    <w:rsid w:val="00B10093"/>
    <w:rsid w:val="00B10EA9"/>
    <w:rsid w:val="00B11CEA"/>
    <w:rsid w:val="00B12080"/>
    <w:rsid w:val="00B16CB9"/>
    <w:rsid w:val="00B20568"/>
    <w:rsid w:val="00B24468"/>
    <w:rsid w:val="00B35B9E"/>
    <w:rsid w:val="00B36B42"/>
    <w:rsid w:val="00B37576"/>
    <w:rsid w:val="00B411AD"/>
    <w:rsid w:val="00B42858"/>
    <w:rsid w:val="00B4344A"/>
    <w:rsid w:val="00B43573"/>
    <w:rsid w:val="00B43AFC"/>
    <w:rsid w:val="00B47F06"/>
    <w:rsid w:val="00B52C36"/>
    <w:rsid w:val="00B54F88"/>
    <w:rsid w:val="00B6111C"/>
    <w:rsid w:val="00B61E7C"/>
    <w:rsid w:val="00B64816"/>
    <w:rsid w:val="00B662D0"/>
    <w:rsid w:val="00B7002E"/>
    <w:rsid w:val="00B70274"/>
    <w:rsid w:val="00B707CE"/>
    <w:rsid w:val="00B827FE"/>
    <w:rsid w:val="00B83E4C"/>
    <w:rsid w:val="00B862A1"/>
    <w:rsid w:val="00B9075D"/>
    <w:rsid w:val="00B9155E"/>
    <w:rsid w:val="00B941FC"/>
    <w:rsid w:val="00B95665"/>
    <w:rsid w:val="00B956D7"/>
    <w:rsid w:val="00B96571"/>
    <w:rsid w:val="00BA06CE"/>
    <w:rsid w:val="00BA7DF8"/>
    <w:rsid w:val="00BB1AF4"/>
    <w:rsid w:val="00BB2B4C"/>
    <w:rsid w:val="00BB3804"/>
    <w:rsid w:val="00BB3F08"/>
    <w:rsid w:val="00BB3F3D"/>
    <w:rsid w:val="00BB3FEC"/>
    <w:rsid w:val="00BB5803"/>
    <w:rsid w:val="00BC02C1"/>
    <w:rsid w:val="00BC0B13"/>
    <w:rsid w:val="00BC421A"/>
    <w:rsid w:val="00BC4C62"/>
    <w:rsid w:val="00BD0726"/>
    <w:rsid w:val="00BD4DAE"/>
    <w:rsid w:val="00BD66B0"/>
    <w:rsid w:val="00BD7B17"/>
    <w:rsid w:val="00BE1BEB"/>
    <w:rsid w:val="00BE6C2C"/>
    <w:rsid w:val="00BF3857"/>
    <w:rsid w:val="00BF3EBF"/>
    <w:rsid w:val="00BF40C9"/>
    <w:rsid w:val="00BF6FD2"/>
    <w:rsid w:val="00C02F70"/>
    <w:rsid w:val="00C035BC"/>
    <w:rsid w:val="00C03B48"/>
    <w:rsid w:val="00C07A3F"/>
    <w:rsid w:val="00C10900"/>
    <w:rsid w:val="00C149C8"/>
    <w:rsid w:val="00C14CFD"/>
    <w:rsid w:val="00C15CF7"/>
    <w:rsid w:val="00C21567"/>
    <w:rsid w:val="00C250E5"/>
    <w:rsid w:val="00C341E6"/>
    <w:rsid w:val="00C34F09"/>
    <w:rsid w:val="00C4077D"/>
    <w:rsid w:val="00C45D55"/>
    <w:rsid w:val="00C47AA6"/>
    <w:rsid w:val="00C47F30"/>
    <w:rsid w:val="00C501F5"/>
    <w:rsid w:val="00C53CB9"/>
    <w:rsid w:val="00C544D1"/>
    <w:rsid w:val="00C55306"/>
    <w:rsid w:val="00C55AD1"/>
    <w:rsid w:val="00C60218"/>
    <w:rsid w:val="00C64BB5"/>
    <w:rsid w:val="00C652FD"/>
    <w:rsid w:val="00C6790D"/>
    <w:rsid w:val="00C72473"/>
    <w:rsid w:val="00C72EC3"/>
    <w:rsid w:val="00C73FB9"/>
    <w:rsid w:val="00C7495E"/>
    <w:rsid w:val="00C8604B"/>
    <w:rsid w:val="00C86E87"/>
    <w:rsid w:val="00C90140"/>
    <w:rsid w:val="00C91D2C"/>
    <w:rsid w:val="00C95243"/>
    <w:rsid w:val="00CB11A2"/>
    <w:rsid w:val="00CB1261"/>
    <w:rsid w:val="00CB20D9"/>
    <w:rsid w:val="00CB26DA"/>
    <w:rsid w:val="00CB33FC"/>
    <w:rsid w:val="00CC0332"/>
    <w:rsid w:val="00CC2340"/>
    <w:rsid w:val="00CC31DD"/>
    <w:rsid w:val="00CC4E3D"/>
    <w:rsid w:val="00CC6082"/>
    <w:rsid w:val="00CC7B27"/>
    <w:rsid w:val="00CD34F7"/>
    <w:rsid w:val="00CD3D65"/>
    <w:rsid w:val="00CD7807"/>
    <w:rsid w:val="00CE2E4D"/>
    <w:rsid w:val="00CE3970"/>
    <w:rsid w:val="00CE40AC"/>
    <w:rsid w:val="00CE58FD"/>
    <w:rsid w:val="00CE7379"/>
    <w:rsid w:val="00CF1F35"/>
    <w:rsid w:val="00CF336B"/>
    <w:rsid w:val="00CF3A85"/>
    <w:rsid w:val="00D069B9"/>
    <w:rsid w:val="00D06C46"/>
    <w:rsid w:val="00D11CFD"/>
    <w:rsid w:val="00D11ECE"/>
    <w:rsid w:val="00D12F29"/>
    <w:rsid w:val="00D1724F"/>
    <w:rsid w:val="00D23D2D"/>
    <w:rsid w:val="00D36866"/>
    <w:rsid w:val="00D372ED"/>
    <w:rsid w:val="00D37E29"/>
    <w:rsid w:val="00D41014"/>
    <w:rsid w:val="00D41417"/>
    <w:rsid w:val="00D415CF"/>
    <w:rsid w:val="00D429FA"/>
    <w:rsid w:val="00D45B2E"/>
    <w:rsid w:val="00D50ABA"/>
    <w:rsid w:val="00D548DD"/>
    <w:rsid w:val="00D550CC"/>
    <w:rsid w:val="00D55307"/>
    <w:rsid w:val="00D57A2C"/>
    <w:rsid w:val="00D60331"/>
    <w:rsid w:val="00D6249F"/>
    <w:rsid w:val="00D71D9C"/>
    <w:rsid w:val="00D7307F"/>
    <w:rsid w:val="00D737FE"/>
    <w:rsid w:val="00D760FC"/>
    <w:rsid w:val="00D768D3"/>
    <w:rsid w:val="00D80C43"/>
    <w:rsid w:val="00D8228D"/>
    <w:rsid w:val="00D8255B"/>
    <w:rsid w:val="00D830EE"/>
    <w:rsid w:val="00D83944"/>
    <w:rsid w:val="00D83A2B"/>
    <w:rsid w:val="00D83D2E"/>
    <w:rsid w:val="00D852B8"/>
    <w:rsid w:val="00D92019"/>
    <w:rsid w:val="00D920C1"/>
    <w:rsid w:val="00D92CC7"/>
    <w:rsid w:val="00D955AB"/>
    <w:rsid w:val="00D9638A"/>
    <w:rsid w:val="00D97FB9"/>
    <w:rsid w:val="00DA10DA"/>
    <w:rsid w:val="00DA43B1"/>
    <w:rsid w:val="00DB135B"/>
    <w:rsid w:val="00DB357D"/>
    <w:rsid w:val="00DB59FD"/>
    <w:rsid w:val="00DB71F0"/>
    <w:rsid w:val="00DC78A4"/>
    <w:rsid w:val="00DD0E88"/>
    <w:rsid w:val="00DD1906"/>
    <w:rsid w:val="00DD2958"/>
    <w:rsid w:val="00DD5BFB"/>
    <w:rsid w:val="00DE1762"/>
    <w:rsid w:val="00DE1B8D"/>
    <w:rsid w:val="00DE2638"/>
    <w:rsid w:val="00DF09C9"/>
    <w:rsid w:val="00DF1E7A"/>
    <w:rsid w:val="00DF3F77"/>
    <w:rsid w:val="00DF7376"/>
    <w:rsid w:val="00E01228"/>
    <w:rsid w:val="00E0168B"/>
    <w:rsid w:val="00E0308C"/>
    <w:rsid w:val="00E04F75"/>
    <w:rsid w:val="00E07E3B"/>
    <w:rsid w:val="00E100F6"/>
    <w:rsid w:val="00E110BB"/>
    <w:rsid w:val="00E12380"/>
    <w:rsid w:val="00E148B2"/>
    <w:rsid w:val="00E17943"/>
    <w:rsid w:val="00E17EB2"/>
    <w:rsid w:val="00E20657"/>
    <w:rsid w:val="00E22667"/>
    <w:rsid w:val="00E2394A"/>
    <w:rsid w:val="00E26C11"/>
    <w:rsid w:val="00E31CF4"/>
    <w:rsid w:val="00E336DA"/>
    <w:rsid w:val="00E33AF9"/>
    <w:rsid w:val="00E353CE"/>
    <w:rsid w:val="00E3605F"/>
    <w:rsid w:val="00E42291"/>
    <w:rsid w:val="00E43B8C"/>
    <w:rsid w:val="00E5002A"/>
    <w:rsid w:val="00E525DF"/>
    <w:rsid w:val="00E54BCC"/>
    <w:rsid w:val="00E559B5"/>
    <w:rsid w:val="00E56D74"/>
    <w:rsid w:val="00E6045F"/>
    <w:rsid w:val="00E6092E"/>
    <w:rsid w:val="00E72C0B"/>
    <w:rsid w:val="00E73597"/>
    <w:rsid w:val="00E753C7"/>
    <w:rsid w:val="00E7685E"/>
    <w:rsid w:val="00E84041"/>
    <w:rsid w:val="00E852F7"/>
    <w:rsid w:val="00E90811"/>
    <w:rsid w:val="00E964B9"/>
    <w:rsid w:val="00EA0254"/>
    <w:rsid w:val="00EA56C2"/>
    <w:rsid w:val="00EA6729"/>
    <w:rsid w:val="00EB115D"/>
    <w:rsid w:val="00EB146A"/>
    <w:rsid w:val="00EB46FF"/>
    <w:rsid w:val="00EC14EE"/>
    <w:rsid w:val="00EC21BD"/>
    <w:rsid w:val="00ED0273"/>
    <w:rsid w:val="00ED178A"/>
    <w:rsid w:val="00ED2D04"/>
    <w:rsid w:val="00ED2F65"/>
    <w:rsid w:val="00ED34E1"/>
    <w:rsid w:val="00ED374E"/>
    <w:rsid w:val="00EE162A"/>
    <w:rsid w:val="00EE37EB"/>
    <w:rsid w:val="00EE5893"/>
    <w:rsid w:val="00EF2E7F"/>
    <w:rsid w:val="00F01856"/>
    <w:rsid w:val="00F02CA6"/>
    <w:rsid w:val="00F061C8"/>
    <w:rsid w:val="00F133DE"/>
    <w:rsid w:val="00F13572"/>
    <w:rsid w:val="00F14702"/>
    <w:rsid w:val="00F14A9F"/>
    <w:rsid w:val="00F21C27"/>
    <w:rsid w:val="00F22B8F"/>
    <w:rsid w:val="00F23CC5"/>
    <w:rsid w:val="00F243BD"/>
    <w:rsid w:val="00F278B9"/>
    <w:rsid w:val="00F323B2"/>
    <w:rsid w:val="00F3261B"/>
    <w:rsid w:val="00F349B3"/>
    <w:rsid w:val="00F35DCE"/>
    <w:rsid w:val="00F36238"/>
    <w:rsid w:val="00F41290"/>
    <w:rsid w:val="00F56691"/>
    <w:rsid w:val="00F60682"/>
    <w:rsid w:val="00F6746A"/>
    <w:rsid w:val="00F70BA3"/>
    <w:rsid w:val="00F72498"/>
    <w:rsid w:val="00F733E0"/>
    <w:rsid w:val="00F75098"/>
    <w:rsid w:val="00F76EC5"/>
    <w:rsid w:val="00F77F11"/>
    <w:rsid w:val="00F83CA7"/>
    <w:rsid w:val="00F84220"/>
    <w:rsid w:val="00F904BF"/>
    <w:rsid w:val="00F92513"/>
    <w:rsid w:val="00F92CBE"/>
    <w:rsid w:val="00F947A7"/>
    <w:rsid w:val="00F956DD"/>
    <w:rsid w:val="00F9585A"/>
    <w:rsid w:val="00F960FA"/>
    <w:rsid w:val="00F96524"/>
    <w:rsid w:val="00F97FB0"/>
    <w:rsid w:val="00FA40C4"/>
    <w:rsid w:val="00FA4E76"/>
    <w:rsid w:val="00FB054C"/>
    <w:rsid w:val="00FB211D"/>
    <w:rsid w:val="00FB2D78"/>
    <w:rsid w:val="00FB3789"/>
    <w:rsid w:val="00FC4849"/>
    <w:rsid w:val="00FC5A8F"/>
    <w:rsid w:val="00FC5FF1"/>
    <w:rsid w:val="00FC76CE"/>
    <w:rsid w:val="00FC775A"/>
    <w:rsid w:val="00FD24C1"/>
    <w:rsid w:val="00FD2C45"/>
    <w:rsid w:val="00FD38FB"/>
    <w:rsid w:val="00FD3A0A"/>
    <w:rsid w:val="00FD44B0"/>
    <w:rsid w:val="00FD4DEF"/>
    <w:rsid w:val="00FE29FD"/>
    <w:rsid w:val="00FE4832"/>
    <w:rsid w:val="00FF1F97"/>
    <w:rsid w:val="00FF20AD"/>
    <w:rsid w:val="00FF3203"/>
    <w:rsid w:val="00FF6099"/>
    <w:rsid w:val="01F32CB7"/>
    <w:rsid w:val="38601A00"/>
    <w:rsid w:val="69C029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10" w:after="10" w:line="360" w:lineRule="auto"/>
      <w:ind w:left="432"/>
      <w:outlineLvl w:val="0"/>
    </w:pPr>
    <w:rPr>
      <w:rFonts w:ascii="Calibri" w:hAnsi="Calibri" w:eastAsia="仿宋" w:cs="黑体"/>
      <w:b/>
      <w:bCs/>
      <w:kern w:val="44"/>
      <w:sz w:val="30"/>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8"/>
    <w:semiHidden/>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Document Map"/>
    <w:basedOn w:val="1"/>
    <w:link w:val="33"/>
    <w:semiHidden/>
    <w:unhideWhenUsed/>
    <w:qFormat/>
    <w:uiPriority w:val="99"/>
    <w:rPr>
      <w:rFonts w:ascii="宋体" w:eastAsia="宋体"/>
      <w:sz w:val="18"/>
      <w:szCs w:val="18"/>
    </w:rPr>
  </w:style>
  <w:style w:type="paragraph" w:styleId="6">
    <w:name w:val="annotation text"/>
    <w:basedOn w:val="1"/>
    <w:link w:val="31"/>
    <w:semiHidden/>
    <w:unhideWhenUsed/>
    <w:qFormat/>
    <w:uiPriority w:val="99"/>
    <w:pPr>
      <w:jc w:val="left"/>
    </w:pPr>
  </w:style>
  <w:style w:type="paragraph" w:styleId="7">
    <w:name w:val="Body Text"/>
    <w:basedOn w:val="1"/>
    <w:next w:val="1"/>
    <w:link w:val="29"/>
    <w:unhideWhenUsed/>
    <w:qFormat/>
    <w:uiPriority w:val="99"/>
    <w:rPr>
      <w:rFonts w:ascii="Calibri" w:hAnsi="Calibri" w:eastAsia="宋体" w:cs="Times New Roman"/>
      <w:szCs w:val="24"/>
    </w:rPr>
  </w:style>
  <w:style w:type="paragraph" w:styleId="8">
    <w:name w:val="Balloon Text"/>
    <w:basedOn w:val="1"/>
    <w:link w:val="25"/>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annotation subject"/>
    <w:basedOn w:val="6"/>
    <w:next w:val="6"/>
    <w:link w:val="32"/>
    <w:semiHidden/>
    <w:unhideWhenUsed/>
    <w:qFormat/>
    <w:uiPriority w:val="99"/>
    <w:rPr>
      <w:b/>
      <w:bCs/>
    </w:rPr>
  </w:style>
  <w:style w:type="character" w:styleId="16">
    <w:name w:val="Hyperlink"/>
    <w:basedOn w:val="15"/>
    <w:unhideWhenUsed/>
    <w:uiPriority w:val="99"/>
    <w:rPr>
      <w:color w:val="0563C1" w:themeColor="hyperlink"/>
      <w:u w:val="single"/>
    </w:rPr>
  </w:style>
  <w:style w:type="character" w:styleId="17">
    <w:name w:val="annotation reference"/>
    <w:basedOn w:val="15"/>
    <w:semiHidden/>
    <w:unhideWhenUsed/>
    <w:qFormat/>
    <w:uiPriority w:val="99"/>
    <w:rPr>
      <w:sz w:val="21"/>
      <w:szCs w:val="21"/>
    </w:rPr>
  </w:style>
  <w:style w:type="character" w:customStyle="1" w:styleId="18">
    <w:name w:val="标题 1 字符"/>
    <w:basedOn w:val="15"/>
    <w:link w:val="2"/>
    <w:qFormat/>
    <w:uiPriority w:val="9"/>
    <w:rPr>
      <w:rFonts w:ascii="Calibri" w:hAnsi="Calibri" w:eastAsia="仿宋" w:cs="黑体"/>
      <w:b/>
      <w:bCs/>
      <w:kern w:val="44"/>
      <w:sz w:val="30"/>
      <w:szCs w:val="44"/>
    </w:rPr>
  </w:style>
  <w:style w:type="character" w:customStyle="1" w:styleId="19">
    <w:name w:val="标题 2 字符"/>
    <w:basedOn w:val="15"/>
    <w:link w:val="3"/>
    <w:uiPriority w:val="9"/>
    <w:rPr>
      <w:rFonts w:asciiTheme="majorHAnsi" w:hAnsiTheme="majorHAnsi" w:eastAsiaTheme="majorEastAsia" w:cstheme="majorBidi"/>
      <w:b/>
      <w:bCs/>
      <w:sz w:val="32"/>
      <w:szCs w:val="32"/>
    </w:rPr>
  </w:style>
  <w:style w:type="character" w:customStyle="1" w:styleId="20">
    <w:name w:val="页眉 字符"/>
    <w:basedOn w:val="15"/>
    <w:link w:val="10"/>
    <w:qFormat/>
    <w:uiPriority w:val="99"/>
    <w:rPr>
      <w:sz w:val="18"/>
      <w:szCs w:val="18"/>
    </w:rPr>
  </w:style>
  <w:style w:type="character" w:customStyle="1" w:styleId="21">
    <w:name w:val="页脚 字符"/>
    <w:basedOn w:val="15"/>
    <w:link w:val="9"/>
    <w:qFormat/>
    <w:uiPriority w:val="99"/>
    <w:rPr>
      <w:sz w:val="18"/>
      <w:szCs w:val="18"/>
    </w:rPr>
  </w:style>
  <w:style w:type="paragraph" w:customStyle="1" w:styleId="22">
    <w:name w:val="列表段落1"/>
    <w:basedOn w:val="1"/>
    <w:link w:val="23"/>
    <w:qFormat/>
    <w:uiPriority w:val="34"/>
    <w:pPr>
      <w:ind w:firstLine="420" w:firstLineChars="200"/>
    </w:pPr>
    <w:rPr>
      <w:rFonts w:ascii="Times New Roman" w:hAnsi="Times New Roman" w:eastAsia="仿宋" w:cs="Times New Roman"/>
      <w:kern w:val="0"/>
      <w:sz w:val="32"/>
      <w:szCs w:val="20"/>
    </w:rPr>
  </w:style>
  <w:style w:type="character" w:customStyle="1" w:styleId="23">
    <w:name w:val="列表段落 字符"/>
    <w:link w:val="22"/>
    <w:qFormat/>
    <w:uiPriority w:val="34"/>
    <w:rPr>
      <w:rFonts w:ascii="Times New Roman" w:hAnsi="Times New Roman" w:eastAsia="仿宋" w:cs="Times New Roman"/>
      <w:kern w:val="0"/>
      <w:sz w:val="32"/>
      <w:szCs w:val="20"/>
    </w:rPr>
  </w:style>
  <w:style w:type="paragraph" w:customStyle="1" w:styleId="24">
    <w:name w:val="TOC 标题1"/>
    <w:basedOn w:val="2"/>
    <w:next w:val="1"/>
    <w:unhideWhenUsed/>
    <w:qFormat/>
    <w:uiPriority w:val="39"/>
    <w:pPr>
      <w:widowControl/>
      <w:spacing w:before="240" w:after="0" w:line="259" w:lineRule="auto"/>
      <w:ind w:left="0"/>
      <w:jc w:val="left"/>
      <w:outlineLvl w:val="9"/>
    </w:pPr>
    <w:rPr>
      <w:rFonts w:asciiTheme="majorHAnsi" w:hAnsiTheme="majorHAnsi" w:eastAsiaTheme="majorEastAsia" w:cstheme="majorBidi"/>
      <w:b w:val="0"/>
      <w:bCs w:val="0"/>
      <w:color w:val="2F5496" w:themeColor="accent1" w:themeShade="BF"/>
      <w:kern w:val="0"/>
      <w:sz w:val="32"/>
      <w:szCs w:val="32"/>
    </w:rPr>
  </w:style>
  <w:style w:type="character" w:customStyle="1" w:styleId="25">
    <w:name w:val="批注框文本 字符"/>
    <w:basedOn w:val="15"/>
    <w:link w:val="8"/>
    <w:semiHidden/>
    <w:qFormat/>
    <w:uiPriority w:val="99"/>
    <w:rPr>
      <w:sz w:val="18"/>
      <w:szCs w:val="18"/>
    </w:rPr>
  </w:style>
  <w:style w:type="paragraph" w:customStyle="1" w:styleId="26">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27">
    <w:name w:val="NormalCharacter"/>
    <w:qFormat/>
    <w:uiPriority w:val="0"/>
  </w:style>
  <w:style w:type="character" w:customStyle="1" w:styleId="28">
    <w:name w:val="标题 3 字符"/>
    <w:basedOn w:val="15"/>
    <w:link w:val="4"/>
    <w:semiHidden/>
    <w:qFormat/>
    <w:uiPriority w:val="9"/>
    <w:rPr>
      <w:b/>
      <w:bCs/>
      <w:sz w:val="32"/>
      <w:szCs w:val="32"/>
    </w:rPr>
  </w:style>
  <w:style w:type="character" w:customStyle="1" w:styleId="29">
    <w:name w:val="正文文本 字符"/>
    <w:basedOn w:val="15"/>
    <w:link w:val="7"/>
    <w:qFormat/>
    <w:uiPriority w:val="99"/>
    <w:rPr>
      <w:rFonts w:ascii="Calibri" w:hAnsi="Calibri" w:eastAsia="宋体" w:cs="Times New Roman"/>
      <w:szCs w:val="24"/>
    </w:rPr>
  </w:style>
  <w:style w:type="paragraph" w:customStyle="1" w:styleId="30">
    <w:name w:val="Char Char Char1 Char"/>
    <w:basedOn w:val="2"/>
    <w:qFormat/>
    <w:uiPriority w:val="0"/>
    <w:pPr>
      <w:snapToGrid w:val="0"/>
      <w:spacing w:before="240" w:after="240" w:line="348" w:lineRule="auto"/>
      <w:ind w:left="0"/>
    </w:pPr>
    <w:rPr>
      <w:rFonts w:eastAsia="宋体" w:cs="Times New Roman"/>
      <w:sz w:val="44"/>
    </w:rPr>
  </w:style>
  <w:style w:type="character" w:customStyle="1" w:styleId="31">
    <w:name w:val="批注文字 字符"/>
    <w:basedOn w:val="15"/>
    <w:link w:val="6"/>
    <w:semiHidden/>
    <w:qFormat/>
    <w:uiPriority w:val="99"/>
  </w:style>
  <w:style w:type="character" w:customStyle="1" w:styleId="32">
    <w:name w:val="批注主题 字符"/>
    <w:basedOn w:val="31"/>
    <w:link w:val="13"/>
    <w:semiHidden/>
    <w:qFormat/>
    <w:uiPriority w:val="99"/>
    <w:rPr>
      <w:b/>
      <w:bCs/>
    </w:rPr>
  </w:style>
  <w:style w:type="character" w:customStyle="1" w:styleId="33">
    <w:name w:val="文档结构图 字符"/>
    <w:basedOn w:val="15"/>
    <w:link w:val="5"/>
    <w:semiHidden/>
    <w:qFormat/>
    <w:uiPriority w:val="99"/>
    <w:rPr>
      <w:rFonts w:ascii="宋体"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DFDD9A-3388-4391-AD8A-E3C6D9B425B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377</Words>
  <Characters>2149</Characters>
  <Lines>17</Lines>
  <Paragraphs>5</Paragraphs>
  <TotalTime>95</TotalTime>
  <ScaleCrop>false</ScaleCrop>
  <LinksUpToDate>false</LinksUpToDate>
  <CharactersWithSpaces>2521</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2021-08-01T12:29:00Z</dcterms:created>
  <dc:creator>微软用户</dc:creator>
  <cp:lastModifiedBy>1</cp:lastModifiedBy>
  <dcterms:modified xsi:type="dcterms:W3CDTF">2021-08-02T02:35:22Z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7FF2944519114A38BCA0609B3740A6E1</vt:lpwstr>
  </property>
</Properties>
</file>