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黑体" w:cs="黑体"/>
          <w:kern w:val="44"/>
          <w:sz w:val="32"/>
          <w:szCs w:val="32"/>
        </w:rPr>
      </w:pPr>
      <w:bookmarkStart w:id="0" w:name="_Hlk75614401"/>
      <w:r>
        <w:rPr>
          <w:rFonts w:hint="eastAsia" w:ascii="Times New Roman" w:hAnsi="Times New Roman" w:eastAsia="黑体" w:cs="黑体"/>
          <w:kern w:val="44"/>
          <w:sz w:val="32"/>
          <w:szCs w:val="32"/>
        </w:rPr>
        <w:t>南昌县小蓝汽车产业园片区土地征收成片开发方案</w:t>
      </w:r>
    </w:p>
    <w:p>
      <w:pPr>
        <w:jc w:val="center"/>
        <w:rPr>
          <w:rFonts w:ascii="Times New Roman" w:hAnsi="Times New Roman" w:eastAsia="黑体" w:cs="黑体"/>
          <w:kern w:val="44"/>
          <w:sz w:val="32"/>
          <w:szCs w:val="32"/>
        </w:rPr>
      </w:pPr>
      <w:r>
        <w:rPr>
          <w:rFonts w:hint="eastAsia" w:ascii="Times New Roman" w:hAnsi="Times New Roman" w:eastAsia="黑体" w:cs="黑体"/>
          <w:kern w:val="44"/>
          <w:sz w:val="32"/>
          <w:szCs w:val="32"/>
        </w:rPr>
        <w:t>（草案</w:t>
      </w:r>
      <w:r>
        <w:rPr>
          <w:rFonts w:ascii="Times New Roman" w:hAnsi="Times New Roman" w:eastAsia="黑体" w:cs="黑体"/>
          <w:kern w:val="44"/>
          <w:sz w:val="32"/>
          <w:szCs w:val="32"/>
        </w:rPr>
        <w:t>）</w:t>
      </w:r>
      <w:bookmarkEnd w:id="0"/>
    </w:p>
    <w:p>
      <w:pPr>
        <w:jc w:val="center"/>
        <w:rPr>
          <w:rFonts w:ascii="Times New Roman" w:hAnsi="Times New Roman" w:eastAsia="黑体" w:cs="黑体"/>
          <w:kern w:val="44"/>
          <w:sz w:val="32"/>
          <w:szCs w:val="32"/>
        </w:rPr>
      </w:pPr>
    </w:p>
    <w:p>
      <w:pPr>
        <w:autoSpaceDE w:val="0"/>
        <w:autoSpaceDN w:val="0"/>
        <w:adjustRightInd w:val="0"/>
        <w:ind w:firstLine="560" w:firstLineChars="200"/>
        <w:rPr>
          <w:rFonts w:ascii="Times New Roman" w:hAnsi="Times New Roman" w:eastAsia="仿宋_GB2312" w:cs="仿宋_GB2312"/>
          <w:kern w:val="0"/>
          <w:sz w:val="28"/>
          <w:szCs w:val="28"/>
        </w:rPr>
      </w:pPr>
      <w:r>
        <w:rPr>
          <w:rFonts w:hint="eastAsia" w:ascii="Times New Roman" w:hAnsi="Times New Roman" w:eastAsia="仿宋_GB2312" w:cs="仿宋_GB2312"/>
          <w:kern w:val="0"/>
          <w:sz w:val="28"/>
          <w:szCs w:val="28"/>
        </w:rPr>
        <w:t>根据新《土地管理法》、《自然资源部关于印发</w:t>
      </w:r>
      <w:r>
        <w:rPr>
          <w:rFonts w:ascii="Times New Roman" w:hAnsi="Times New Roman" w:eastAsia="仿宋_GB2312" w:cs="仿宋_GB2312"/>
          <w:kern w:val="0"/>
          <w:sz w:val="28"/>
          <w:szCs w:val="28"/>
        </w:rPr>
        <w:t>&lt;土地征收成片开发标准（试行）&gt;的通知》（自然资规〔2020〕5号）</w:t>
      </w:r>
      <w:r>
        <w:rPr>
          <w:rFonts w:hint="eastAsia" w:ascii="Times New Roman" w:hAnsi="Times New Roman" w:eastAsia="仿宋_GB2312" w:cs="仿宋_GB2312"/>
          <w:kern w:val="0"/>
          <w:sz w:val="28"/>
          <w:szCs w:val="28"/>
        </w:rPr>
        <w:t>以及《江西省人民政府办公厅关于执行土地征收成片开发标准</w:t>
      </w:r>
      <w:r>
        <w:rPr>
          <w:rFonts w:ascii="Times New Roman" w:hAnsi="Times New Roman" w:eastAsia="仿宋_GB2312" w:cs="仿宋_GB2312"/>
          <w:kern w:val="0"/>
          <w:sz w:val="28"/>
          <w:szCs w:val="28"/>
        </w:rPr>
        <w:t>(试行)的指导意见</w:t>
      </w:r>
      <w:r>
        <w:rPr>
          <w:rFonts w:hint="eastAsia" w:ascii="Times New Roman" w:hAnsi="Times New Roman" w:eastAsia="仿宋_GB2312" w:cs="仿宋_GB2312"/>
          <w:kern w:val="0"/>
          <w:sz w:val="28"/>
          <w:szCs w:val="28"/>
        </w:rPr>
        <w:t>》（赣府厅发〔</w:t>
      </w:r>
      <w:r>
        <w:rPr>
          <w:rFonts w:ascii="Times New Roman" w:hAnsi="Times New Roman" w:eastAsia="仿宋_GB2312" w:cs="仿宋_GB2312"/>
          <w:kern w:val="0"/>
          <w:sz w:val="28"/>
          <w:szCs w:val="28"/>
        </w:rPr>
        <w:t>2021〕2号）相关规定和要求，</w:t>
      </w:r>
      <w:r>
        <w:rPr>
          <w:rFonts w:hint="eastAsia" w:ascii="Times New Roman" w:hAnsi="Times New Roman" w:eastAsia="仿宋_GB2312" w:cs="仿宋_GB2312"/>
          <w:kern w:val="0"/>
          <w:sz w:val="28"/>
          <w:szCs w:val="28"/>
        </w:rPr>
        <w:t>南昌县人民政府组织编制了《南昌县小蓝汽车产业园片区土地征收成片开发方案（</w:t>
      </w:r>
      <w:r>
        <w:rPr>
          <w:rFonts w:ascii="Times New Roman" w:hAnsi="Times New Roman" w:eastAsia="仿宋_GB2312" w:cs="仿宋_GB2312"/>
          <w:kern w:val="0"/>
          <w:sz w:val="28"/>
          <w:szCs w:val="28"/>
        </w:rPr>
        <w:t>2021-2022年）</w:t>
      </w:r>
      <w:r>
        <w:rPr>
          <w:rFonts w:hint="eastAsia" w:ascii="Times New Roman" w:hAnsi="Times New Roman" w:eastAsia="仿宋_GB2312" w:cs="仿宋_GB2312"/>
          <w:kern w:val="0"/>
          <w:sz w:val="28"/>
          <w:szCs w:val="28"/>
        </w:rPr>
        <w:t>》。</w:t>
      </w:r>
    </w:p>
    <w:p>
      <w:pPr>
        <w:pStyle w:val="2"/>
        <w:spacing w:line="240" w:lineRule="auto"/>
        <w:ind w:left="0" w:firstLine="640" w:firstLineChars="200"/>
        <w:rPr>
          <w:rFonts w:ascii="Times New Roman" w:hAnsi="Times New Roman" w:eastAsia="黑体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黑体"/>
          <w:b w:val="0"/>
          <w:bCs w:val="0"/>
          <w:sz w:val="32"/>
          <w:szCs w:val="32"/>
        </w:rPr>
        <w:t>一、编制依据</w:t>
      </w:r>
    </w:p>
    <w:p>
      <w:pPr>
        <w:autoSpaceDE w:val="0"/>
        <w:autoSpaceDN w:val="0"/>
        <w:adjustRightInd w:val="0"/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仿宋_GB2312" w:cs="仿宋_GB2312"/>
          <w:kern w:val="0"/>
          <w:sz w:val="28"/>
          <w:szCs w:val="28"/>
          <w:lang w:val="en-US" w:eastAsia="zh-CN"/>
        </w:rPr>
        <w:t>1、</w:t>
      </w:r>
      <w:r>
        <w:rPr>
          <w:rFonts w:hint="eastAsia" w:ascii="Times New Roman" w:hAnsi="Times New Roman" w:eastAsia="仿宋_GB2312" w:cs="仿宋_GB2312"/>
          <w:kern w:val="0"/>
          <w:sz w:val="28"/>
          <w:szCs w:val="28"/>
        </w:rPr>
        <w:t>根据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《自然资源部关于印发&lt;土地征收成片开发标准（试行）&gt;的通知》（自然资规〔2020〕5号）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；</w:t>
      </w:r>
    </w:p>
    <w:p>
      <w:pPr>
        <w:autoSpaceDE w:val="0"/>
        <w:autoSpaceDN w:val="0"/>
        <w:adjustRightInd w:val="0"/>
        <w:ind w:firstLine="560" w:firstLineChars="200"/>
        <w:rPr>
          <w:rFonts w:hint="eastAsia" w:ascii="Times New Roman" w:hAnsi="Times New Roman" w:eastAsia="仿宋_GB2312" w:cs="仿宋_GB2312"/>
          <w:kern w:val="0"/>
          <w:sz w:val="28"/>
          <w:szCs w:val="28"/>
          <w:lang w:eastAsia="zh-CN"/>
        </w:rPr>
      </w:pPr>
      <w:r>
        <w:rPr>
          <w:rFonts w:hint="eastAsia" w:ascii="Times New Roman" w:hAnsi="Times New Roman" w:eastAsia="仿宋_GB2312" w:cs="仿宋_GB2312"/>
          <w:kern w:val="0"/>
          <w:sz w:val="28"/>
          <w:szCs w:val="28"/>
          <w:lang w:val="en-US" w:eastAsia="zh-CN"/>
        </w:rPr>
        <w:t>2、</w:t>
      </w:r>
      <w:r>
        <w:rPr>
          <w:rFonts w:hint="eastAsia" w:ascii="Times New Roman" w:hAnsi="Times New Roman" w:eastAsia="仿宋_GB2312" w:cs="仿宋_GB2312"/>
          <w:kern w:val="0"/>
          <w:sz w:val="28"/>
          <w:szCs w:val="28"/>
        </w:rPr>
        <w:t>《江西省人民政府办公厅关于执行土地征收成片开发标准</w:t>
      </w:r>
      <w:r>
        <w:rPr>
          <w:rFonts w:ascii="Times New Roman" w:hAnsi="Times New Roman" w:eastAsia="仿宋_GB2312" w:cs="仿宋_GB2312"/>
          <w:kern w:val="0"/>
          <w:sz w:val="28"/>
          <w:szCs w:val="28"/>
        </w:rPr>
        <w:t>(试行)的指导意见</w:t>
      </w:r>
      <w:r>
        <w:rPr>
          <w:rFonts w:hint="eastAsia" w:ascii="Times New Roman" w:hAnsi="Times New Roman" w:eastAsia="仿宋_GB2312" w:cs="仿宋_GB2312"/>
          <w:kern w:val="0"/>
          <w:sz w:val="28"/>
          <w:szCs w:val="28"/>
        </w:rPr>
        <w:t>》（赣府厅发〔</w:t>
      </w:r>
      <w:r>
        <w:rPr>
          <w:rFonts w:ascii="Times New Roman" w:hAnsi="Times New Roman" w:eastAsia="仿宋_GB2312" w:cs="仿宋_GB2312"/>
          <w:kern w:val="0"/>
          <w:sz w:val="28"/>
          <w:szCs w:val="28"/>
        </w:rPr>
        <w:t>2021〕2号）</w:t>
      </w:r>
      <w:r>
        <w:rPr>
          <w:rFonts w:hint="eastAsia" w:ascii="Times New Roman" w:hAnsi="Times New Roman" w:eastAsia="仿宋_GB2312" w:cs="仿宋_GB2312"/>
          <w:kern w:val="0"/>
          <w:sz w:val="28"/>
          <w:szCs w:val="28"/>
          <w:lang w:eastAsia="zh-CN"/>
        </w:rPr>
        <w:t>；</w:t>
      </w:r>
    </w:p>
    <w:p>
      <w:pPr>
        <w:autoSpaceDE w:val="0"/>
        <w:autoSpaceDN w:val="0"/>
        <w:adjustRightInd w:val="0"/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仿宋_GB2312" w:cs="仿宋_GB2312"/>
          <w:sz w:val="28"/>
          <w:szCs w:val="28"/>
          <w:lang w:val="en-US" w:eastAsia="zh-CN"/>
        </w:rPr>
        <w:t>3、</w:t>
      </w:r>
      <w:r>
        <w:rPr>
          <w:rFonts w:hint="eastAsia" w:ascii="Times New Roman" w:hAnsi="Times New Roman" w:eastAsia="仿宋_GB2312" w:cs="仿宋_GB2312"/>
          <w:sz w:val="28"/>
          <w:szCs w:val="28"/>
        </w:rPr>
        <w:t>《江西省自然资源厅办公室关于印发土地征收成片开发方案审批指南（试行）的通知》（赣自然资办发〔</w:t>
      </w:r>
      <w:r>
        <w:rPr>
          <w:rFonts w:ascii="Times New Roman" w:hAnsi="Times New Roman" w:eastAsia="仿宋_GB2312" w:cs="仿宋_GB2312"/>
          <w:sz w:val="28"/>
          <w:szCs w:val="28"/>
        </w:rPr>
        <w:t>2021</w:t>
      </w:r>
      <w:r>
        <w:rPr>
          <w:rFonts w:hint="eastAsia" w:ascii="Times New Roman" w:hAnsi="Times New Roman" w:eastAsia="仿宋_GB2312" w:cs="仿宋_GB2312"/>
          <w:sz w:val="28"/>
          <w:szCs w:val="28"/>
        </w:rPr>
        <w:t>〕</w:t>
      </w:r>
      <w:r>
        <w:rPr>
          <w:rFonts w:ascii="Times New Roman" w:hAnsi="Times New Roman" w:eastAsia="仿宋_GB2312" w:cs="仿宋_GB2312"/>
          <w:sz w:val="28"/>
          <w:szCs w:val="28"/>
        </w:rPr>
        <w:t>30</w:t>
      </w:r>
      <w:r>
        <w:rPr>
          <w:rFonts w:hint="eastAsia" w:ascii="Times New Roman" w:hAnsi="Times New Roman" w:eastAsia="仿宋_GB2312" w:cs="仿宋_GB2312"/>
          <w:sz w:val="28"/>
          <w:szCs w:val="28"/>
        </w:rPr>
        <w:t>号）</w:t>
      </w:r>
      <w:r>
        <w:rPr>
          <w:rFonts w:hint="eastAsia" w:ascii="Times New Roman" w:hAnsi="Times New Roman" w:eastAsia="仿宋_GB2312" w:cs="仿宋_GB2312"/>
          <w:sz w:val="28"/>
          <w:szCs w:val="28"/>
          <w:lang w:eastAsia="zh-CN"/>
        </w:rPr>
        <w:t>；</w:t>
      </w:r>
    </w:p>
    <w:p>
      <w:pPr>
        <w:autoSpaceDE w:val="0"/>
        <w:autoSpaceDN w:val="0"/>
        <w:adjustRightInd w:val="0"/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4、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《南昌市自然资源局关于印发土地征收成片开发方案审查办理指南（试行）的通知》（洪自然资办字〔</w:t>
      </w:r>
      <w:r>
        <w:rPr>
          <w:rFonts w:ascii="Times New Roman" w:hAnsi="Times New Roman" w:eastAsia="仿宋_GB2312" w:cs="Times New Roman"/>
          <w:sz w:val="28"/>
          <w:szCs w:val="28"/>
        </w:rPr>
        <w:t>2021〕98号）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；</w:t>
      </w:r>
    </w:p>
    <w:p>
      <w:pPr>
        <w:autoSpaceDE w:val="0"/>
        <w:autoSpaceDN w:val="0"/>
        <w:adjustRightInd w:val="0"/>
        <w:ind w:firstLine="560" w:firstLineChars="200"/>
        <w:rPr>
          <w:rFonts w:hint="eastAsia" w:ascii="仿宋_GB2312" w:hAnsi="Times New Roman" w:eastAsia="仿宋_GB2312"/>
          <w:color w:val="000000" w:themeColor="text1"/>
          <w:sz w:val="28"/>
          <w:szCs w:val="28"/>
          <w:lang w:eastAsia="zh-CN"/>
        </w:rPr>
      </w:pPr>
      <w:r>
        <w:rPr>
          <w:rFonts w:hint="eastAsia" w:ascii="仿宋_GB2312" w:hAnsi="Times New Roman" w:eastAsia="仿宋_GB2312"/>
          <w:color w:val="000000" w:themeColor="text1"/>
          <w:sz w:val="28"/>
          <w:szCs w:val="28"/>
          <w:lang w:val="en-US" w:eastAsia="zh-CN"/>
        </w:rPr>
        <w:t>5、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</w:rPr>
        <w:t>《南昌县（小蓝经开区）国民经济和社会发展第十四个五年规划和二</w:t>
      </w: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</w:rPr>
        <w:t>〇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</w:rPr>
        <w:t>三五年远景目标纲要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</w:rPr>
        <w:t>》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  <w:lang w:eastAsia="zh-CN"/>
        </w:rPr>
        <w:t>；</w:t>
      </w:r>
    </w:p>
    <w:p>
      <w:pPr>
        <w:autoSpaceDE w:val="0"/>
        <w:autoSpaceDN w:val="0"/>
        <w:adjustRightInd w:val="0"/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</w:rPr>
        <w:t>6、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</w:rPr>
        <w:t>《南昌县</w:t>
      </w:r>
      <w:r>
        <w:rPr>
          <w:rFonts w:ascii="Times New Roman" w:hAnsi="Times New Roman" w:eastAsia="仿宋_GB2312" w:cs="Times New Roman"/>
          <w:sz w:val="28"/>
          <w:szCs w:val="28"/>
        </w:rPr>
        <w:t>2020</w:t>
      </w:r>
      <w:r>
        <w:rPr>
          <w:rFonts w:ascii="仿宋_GB2312" w:hAnsi="仿宋_GB2312" w:eastAsia="仿宋_GB2312" w:cs="仿宋_GB2312"/>
          <w:color w:val="000000" w:themeColor="text1"/>
          <w:sz w:val="28"/>
          <w:szCs w:val="28"/>
        </w:rPr>
        <w:t>年国民经济和社会发展计划执行情况及</w:t>
      </w:r>
      <w:r>
        <w:rPr>
          <w:rFonts w:ascii="Times New Roman" w:hAnsi="Times New Roman" w:eastAsia="仿宋_GB2312" w:cs="仿宋_GB2312"/>
          <w:sz w:val="28"/>
          <w:szCs w:val="28"/>
        </w:rPr>
        <w:t>2021</w:t>
      </w:r>
      <w:r>
        <w:rPr>
          <w:rFonts w:ascii="仿宋_GB2312" w:hAnsi="仿宋_GB2312" w:eastAsia="仿宋_GB2312" w:cs="仿宋_GB2312"/>
          <w:color w:val="000000" w:themeColor="text1"/>
          <w:sz w:val="28"/>
          <w:szCs w:val="28"/>
        </w:rPr>
        <w:t>年国民经济和社会发展计划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</w:rPr>
        <w:t>》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eastAsia="zh-CN"/>
        </w:rPr>
        <w:t>；</w:t>
      </w:r>
    </w:p>
    <w:p>
      <w:pPr>
        <w:autoSpaceDE w:val="0"/>
        <w:autoSpaceDN w:val="0"/>
        <w:adjustRightInd w:val="0"/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7、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《南昌县土地利用总体规划（</w:t>
      </w:r>
      <w:r>
        <w:rPr>
          <w:rFonts w:ascii="Times New Roman" w:hAnsi="Times New Roman" w:eastAsia="仿宋_GB2312" w:cs="Times New Roman"/>
          <w:sz w:val="28"/>
          <w:szCs w:val="28"/>
        </w:rPr>
        <w:t>2006-2020年）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延续方案》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；</w:t>
      </w:r>
    </w:p>
    <w:p>
      <w:pPr>
        <w:autoSpaceDE w:val="0"/>
        <w:autoSpaceDN w:val="0"/>
        <w:adjustRightInd w:val="0"/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</w:pPr>
      <w:r>
        <w:rPr>
          <w:rFonts w:hint="eastAsia" w:ascii="仿宋_GB2312" w:hAnsi="Times New Roman" w:eastAsia="仿宋_GB2312" w:cs="Times New Roman"/>
          <w:color w:val="000000" w:themeColor="text1"/>
          <w:sz w:val="28"/>
          <w:szCs w:val="28"/>
          <w:lang w:val="en-US" w:eastAsia="zh-CN"/>
        </w:rPr>
        <w:t>8、</w:t>
      </w:r>
      <w:r>
        <w:rPr>
          <w:rFonts w:hint="eastAsia" w:ascii="仿宋_GB2312" w:hAnsi="Times New Roman" w:eastAsia="仿宋_GB2312" w:cs="Times New Roman"/>
          <w:color w:val="000000" w:themeColor="text1"/>
          <w:sz w:val="28"/>
          <w:szCs w:val="28"/>
        </w:rPr>
        <w:t>《南昌县城市总体规划（</w:t>
      </w:r>
      <w:r>
        <w:rPr>
          <w:rFonts w:hint="eastAsia" w:ascii="Times New Roman" w:hAnsi="Times New Roman" w:eastAsia="仿宋_GB2312" w:cs="仿宋_GB2312"/>
          <w:sz w:val="28"/>
          <w:szCs w:val="28"/>
        </w:rPr>
        <w:t>2011-2030</w:t>
      </w:r>
      <w:r>
        <w:rPr>
          <w:rFonts w:hint="eastAsia" w:ascii="仿宋_GB2312" w:hAnsi="Times New Roman" w:eastAsia="仿宋_GB2312" w:cs="Times New Roman"/>
          <w:color w:val="000000" w:themeColor="text1"/>
          <w:sz w:val="28"/>
          <w:szCs w:val="28"/>
        </w:rPr>
        <w:t>）》</w:t>
      </w:r>
      <w:r>
        <w:rPr>
          <w:rFonts w:hint="eastAsia" w:ascii="仿宋_GB2312" w:hAnsi="Times New Roman" w:eastAsia="仿宋_GB2312" w:cs="Times New Roman"/>
          <w:color w:val="000000" w:themeColor="text1"/>
          <w:sz w:val="28"/>
          <w:szCs w:val="28"/>
          <w:lang w:eastAsia="zh-CN"/>
        </w:rPr>
        <w:t>；</w:t>
      </w:r>
    </w:p>
    <w:p>
      <w:pPr>
        <w:autoSpaceDE w:val="0"/>
        <w:autoSpaceDN w:val="0"/>
        <w:adjustRightInd w:val="0"/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9、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《</w:t>
      </w:r>
      <w:r>
        <w:rPr>
          <w:rFonts w:ascii="Times New Roman" w:hAnsi="Times New Roman" w:eastAsia="仿宋_GB2312" w:cs="Times New Roman"/>
          <w:sz w:val="28"/>
          <w:szCs w:val="28"/>
        </w:rPr>
        <w:t>南昌小蓝经</w:t>
      </w:r>
      <w:bookmarkStart w:id="9" w:name="_GoBack"/>
      <w:bookmarkEnd w:id="9"/>
      <w:r>
        <w:rPr>
          <w:rFonts w:ascii="Times New Roman" w:hAnsi="Times New Roman" w:eastAsia="仿宋_GB2312" w:cs="Times New Roman"/>
          <w:sz w:val="28"/>
          <w:szCs w:val="28"/>
        </w:rPr>
        <w:t>济技术开发区规划（修编）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》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；</w:t>
      </w:r>
    </w:p>
    <w:p>
      <w:pPr>
        <w:autoSpaceDE w:val="0"/>
        <w:autoSpaceDN w:val="0"/>
        <w:adjustRightInd w:val="0"/>
        <w:ind w:firstLine="560" w:firstLineChars="200"/>
        <w:rPr>
          <w:rFonts w:hint="eastAsia" w:ascii="Times New Roman" w:hAnsi="Times New Roman" w:eastAsia="仿宋_GB2312" w:cs="仿宋_GB2312"/>
          <w:kern w:val="0"/>
          <w:sz w:val="28"/>
          <w:szCs w:val="28"/>
          <w:lang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10、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《南昌县迎宾大道沿线西侧地区控制性详细规划》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。</w:t>
      </w:r>
    </w:p>
    <w:p>
      <w:pPr>
        <w:pStyle w:val="2"/>
        <w:spacing w:line="240" w:lineRule="auto"/>
        <w:ind w:left="0" w:firstLine="640" w:firstLineChars="200"/>
        <w:rPr>
          <w:rFonts w:ascii="Times New Roman" w:hAnsi="Times New Roman" w:eastAsia="黑体"/>
          <w:b w:val="0"/>
          <w:bCs w:val="0"/>
          <w:sz w:val="32"/>
          <w:szCs w:val="32"/>
        </w:rPr>
      </w:pPr>
      <w:bookmarkStart w:id="1" w:name="_Toc69736442"/>
      <w:r>
        <w:rPr>
          <w:rFonts w:hint="eastAsia" w:ascii="Times New Roman" w:hAnsi="Times New Roman" w:eastAsia="黑体"/>
          <w:b w:val="0"/>
          <w:bCs w:val="0"/>
          <w:sz w:val="32"/>
          <w:szCs w:val="32"/>
        </w:rPr>
        <w:t>二、基本情况</w:t>
      </w:r>
      <w:bookmarkEnd w:id="1"/>
    </w:p>
    <w:p>
      <w:pPr>
        <w:spacing w:line="360" w:lineRule="auto"/>
        <w:ind w:firstLine="640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>本成片开发方案编制范围位于南昌县小蓝汽车产业园，小蓝中大道以南、金沙三路和南韶高速以东、迎宾中大道以西，总面积</w:t>
      </w:r>
      <w:r>
        <w:rPr>
          <w:rFonts w:ascii="Times New Roman" w:hAnsi="Times New Roman" w:eastAsia="仿宋_GB2312"/>
          <w:sz w:val="28"/>
          <w:szCs w:val="28"/>
        </w:rPr>
        <w:t>507.85公顷</w:t>
      </w:r>
      <w:r>
        <w:rPr>
          <w:rFonts w:hint="eastAsia" w:ascii="Times New Roman" w:hAnsi="Times New Roman" w:eastAsia="仿宋_GB2312"/>
          <w:sz w:val="28"/>
          <w:szCs w:val="28"/>
        </w:rPr>
        <w:t>，拟征收面积</w:t>
      </w:r>
      <w:r>
        <w:rPr>
          <w:rFonts w:ascii="Times New Roman" w:hAnsi="Times New Roman" w:eastAsia="仿宋_GB2312"/>
          <w:sz w:val="28"/>
          <w:szCs w:val="28"/>
        </w:rPr>
        <w:t>351.08公顷</w:t>
      </w:r>
      <w:r>
        <w:rPr>
          <w:rFonts w:hint="eastAsia" w:ascii="Times New Roman" w:hAnsi="Times New Roman" w:eastAsia="仿宋_GB2312"/>
          <w:sz w:val="28"/>
          <w:szCs w:val="28"/>
        </w:rPr>
        <w:t>，涉及富山乡东亘村农民集体、富山乡东亘村八组、富山乡东亘村七组、富山乡东亘村四组、富山乡富山村三组、富山乡富山村五组、富山乡三山村八组、富山乡三山村二组、富山乡三山村九组、富山乡三山村六组、富山乡三山村七组、富山乡三山村三组、富山乡三山村四组、富山乡三山村五组、富山乡三山村一组、富山乡张坊村农民集体、富山乡张坊村埂上组、富山乡张坊村后张组、富山乡张坊村贾村组、富山乡张坊村前张组、富山乡张坊村唐村组、富山乡张坊村西头组、富山乡张坊村小谭组、小蓝经济开发区柏岗村农民集体、小蓝经济开发区柏林村农民集体、小蓝经济开发区柏林村北首组、小蓝经济开发区柏林村南首组、小蓝经济开发区雄溪村农民集体、小蓝经济开发区玉沙村农民集体、小蓝经济开发区玉沙村二组、小蓝经济开发区玉沙村一组、小蓝经济开发区玉沙村三组、小蓝经济开发区玉沙村四组、小蓝经济开发区霞山村一组、小蓝经济开发区霞山村四组。</w:t>
      </w:r>
    </w:p>
    <w:p>
      <w:pPr>
        <w:pStyle w:val="2"/>
        <w:spacing w:line="240" w:lineRule="auto"/>
        <w:ind w:left="0" w:firstLine="640" w:firstLineChars="200"/>
        <w:rPr>
          <w:rFonts w:ascii="Times New Roman" w:hAnsi="Times New Roman" w:eastAsia="黑体"/>
          <w:b w:val="0"/>
          <w:bCs w:val="0"/>
          <w:sz w:val="32"/>
          <w:szCs w:val="32"/>
        </w:rPr>
      </w:pPr>
      <w:bookmarkStart w:id="2" w:name="_Toc69736450"/>
      <w:r>
        <w:rPr>
          <w:rFonts w:hint="eastAsia" w:ascii="Times New Roman" w:hAnsi="Times New Roman" w:eastAsia="黑体"/>
          <w:b w:val="0"/>
          <w:bCs w:val="0"/>
          <w:sz w:val="32"/>
          <w:szCs w:val="32"/>
        </w:rPr>
        <w:t>三、必要性</w:t>
      </w:r>
      <w:bookmarkEnd w:id="2"/>
    </w:p>
    <w:p>
      <w:pPr>
        <w:spacing w:line="360" w:lineRule="auto"/>
        <w:ind w:firstLine="640"/>
        <w:rPr>
          <w:rFonts w:ascii="Times New Roman" w:hAnsi="Times New Roman" w:eastAsia="仿宋_GB2312" w:cs="仿宋_GB2312"/>
          <w:kern w:val="0"/>
          <w:sz w:val="28"/>
          <w:szCs w:val="28"/>
        </w:rPr>
      </w:pPr>
      <w:bookmarkStart w:id="3" w:name="_Toc69736453"/>
      <w:r>
        <w:rPr>
          <w:rFonts w:hint="eastAsia" w:ascii="Times New Roman" w:hAnsi="Times New Roman" w:eastAsia="仿宋_GB2312"/>
          <w:sz w:val="28"/>
          <w:szCs w:val="28"/>
        </w:rPr>
        <w:t>为了实现区域土地综合开发、高效利用，需要对方案的土地实行统一征收。根据南昌县“一区四园一中心”的发展格局，小蓝汽车产业园将大力发展汽车及新能源汽车等现代化产业。</w:t>
      </w:r>
      <w:r>
        <w:rPr>
          <w:rFonts w:hint="eastAsia" w:ascii="Times New Roman" w:hAnsi="Times New Roman" w:eastAsia="仿宋_GB2312" w:cs="仿宋_GB2312"/>
          <w:kern w:val="0"/>
          <w:sz w:val="28"/>
          <w:szCs w:val="28"/>
        </w:rPr>
        <w:t>科学编制土地征收成片开发方案，</w:t>
      </w:r>
      <w:r>
        <w:rPr>
          <w:rFonts w:hint="eastAsia" w:ascii="Times New Roman" w:hAnsi="Times New Roman" w:eastAsia="仿宋_GB2312"/>
          <w:sz w:val="28"/>
          <w:szCs w:val="28"/>
        </w:rPr>
        <w:t>有利于保障重点项目落地，提升对乡镇村发展的带动力，推动城镇建设；有利于塑造区域品牌，形成大规模、有特色的产业集群，带动区域经济增长。</w:t>
      </w:r>
    </w:p>
    <w:p>
      <w:pPr>
        <w:spacing w:line="360" w:lineRule="auto"/>
        <w:ind w:firstLine="640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四、合规性</w:t>
      </w:r>
      <w:bookmarkEnd w:id="3"/>
    </w:p>
    <w:p>
      <w:pPr>
        <w:spacing w:line="360" w:lineRule="auto"/>
        <w:ind w:firstLine="640"/>
        <w:rPr>
          <w:rFonts w:ascii="Times New Roman" w:hAnsi="Times New Roman" w:eastAsia="仿宋_GB2312"/>
          <w:sz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>本成片开发方案符合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</w:rPr>
        <w:t>《南昌县（小蓝经开区）国民经济和社会发展第十四个五年规划和二</w:t>
      </w: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</w:rPr>
        <w:t>〇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</w:rPr>
        <w:t>三五年远景目标纲要</w:t>
      </w:r>
      <w:r>
        <w:rPr>
          <w:rFonts w:hint="eastAsia" w:ascii="仿宋_GB2312" w:hAnsi="Times New Roman" w:eastAsia="仿宋_GB2312"/>
          <w:color w:val="000000" w:themeColor="text1"/>
          <w:sz w:val="28"/>
          <w:szCs w:val="28"/>
        </w:rPr>
        <w:t>》、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</w:rPr>
        <w:t>《南昌县</w:t>
      </w:r>
      <w:r>
        <w:rPr>
          <w:rFonts w:ascii="Times New Roman" w:hAnsi="Times New Roman" w:eastAsia="仿宋_GB2312"/>
          <w:sz w:val="28"/>
          <w:szCs w:val="28"/>
        </w:rPr>
        <w:t>2020</w:t>
      </w:r>
      <w:r>
        <w:rPr>
          <w:rFonts w:ascii="仿宋_GB2312" w:hAnsi="仿宋_GB2312" w:eastAsia="仿宋_GB2312" w:cs="仿宋_GB2312"/>
          <w:color w:val="000000" w:themeColor="text1"/>
          <w:sz w:val="28"/>
          <w:szCs w:val="28"/>
        </w:rPr>
        <w:t>年国民经济和社会发展计划执行情况及</w:t>
      </w:r>
      <w:r>
        <w:rPr>
          <w:rFonts w:ascii="Times New Roman" w:hAnsi="Times New Roman" w:eastAsia="仿宋_GB2312"/>
          <w:sz w:val="28"/>
          <w:szCs w:val="28"/>
        </w:rPr>
        <w:t>2021</w:t>
      </w:r>
      <w:r>
        <w:rPr>
          <w:rFonts w:ascii="仿宋_GB2312" w:hAnsi="仿宋_GB2312" w:eastAsia="仿宋_GB2312" w:cs="仿宋_GB2312"/>
          <w:color w:val="000000" w:themeColor="text1"/>
          <w:sz w:val="28"/>
          <w:szCs w:val="28"/>
        </w:rPr>
        <w:t>年国民经济和社会发展计划</w:t>
      </w: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</w:rPr>
        <w:t>》</w:t>
      </w:r>
      <w:r>
        <w:rPr>
          <w:rFonts w:hint="eastAsia" w:ascii="Times New Roman" w:hAnsi="Times New Roman" w:eastAsia="仿宋_GB2312"/>
          <w:sz w:val="28"/>
          <w:szCs w:val="28"/>
        </w:rPr>
        <w:t>，成片开发范围位于土地利用总体规划的允许建设区，位于南昌县总体规划规划区范围内，不涉及占用永久基本农田保护红线、生态保护红线，</w:t>
      </w:r>
      <w:r>
        <w:rPr>
          <w:rFonts w:hint="eastAsia" w:ascii="Times New Roman" w:hAnsi="Times New Roman" w:eastAsia="仿宋_GB2312" w:cs="仿宋_GB2312"/>
          <w:kern w:val="0"/>
          <w:sz w:val="28"/>
          <w:szCs w:val="28"/>
        </w:rPr>
        <w:t>不涉及占用自然保护地、一级保护林地、历史文化街区名镇名村等特定区域，不涉及土壤污染、疑似污染地块，成片开发范围内地质灾害为不易发，不涉及占用</w:t>
      </w:r>
      <w:r>
        <w:rPr>
          <w:rFonts w:ascii="Times New Roman" w:hAnsi="Times New Roman" w:eastAsia="仿宋_GB2312"/>
          <w:sz w:val="28"/>
        </w:rPr>
        <w:t>采矿探矿权范围</w:t>
      </w:r>
      <w:r>
        <w:rPr>
          <w:rFonts w:hint="eastAsia" w:ascii="Times New Roman" w:hAnsi="Times New Roman" w:eastAsia="仿宋_GB2312"/>
          <w:sz w:val="28"/>
        </w:rPr>
        <w:t>。</w:t>
      </w:r>
    </w:p>
    <w:p>
      <w:pPr>
        <w:pStyle w:val="2"/>
        <w:spacing w:line="240" w:lineRule="auto"/>
        <w:ind w:left="0" w:firstLine="640" w:firstLineChars="200"/>
        <w:rPr>
          <w:rFonts w:ascii="Times New Roman" w:hAnsi="Times New Roman" w:eastAsia="黑体"/>
          <w:b w:val="0"/>
          <w:bCs w:val="0"/>
          <w:sz w:val="32"/>
          <w:szCs w:val="32"/>
        </w:rPr>
      </w:pPr>
      <w:bookmarkStart w:id="4" w:name="_Toc69736458"/>
      <w:r>
        <w:rPr>
          <w:rFonts w:hint="eastAsia" w:ascii="Times New Roman" w:hAnsi="Times New Roman" w:eastAsia="黑体"/>
          <w:b w:val="0"/>
          <w:bCs w:val="0"/>
          <w:sz w:val="32"/>
          <w:szCs w:val="32"/>
        </w:rPr>
        <w:t>五、主要用途和实现功能</w:t>
      </w:r>
      <w:bookmarkEnd w:id="4"/>
    </w:p>
    <w:p>
      <w:pPr>
        <w:spacing w:line="360" w:lineRule="auto"/>
        <w:ind w:firstLine="640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>本成片开发方案用地总面积</w:t>
      </w:r>
      <w:r>
        <w:rPr>
          <w:rFonts w:ascii="Times New Roman" w:hAnsi="Times New Roman" w:eastAsia="仿宋_GB2312"/>
          <w:sz w:val="28"/>
          <w:szCs w:val="28"/>
        </w:rPr>
        <w:t>507.85</w:t>
      </w:r>
      <w:r>
        <w:rPr>
          <w:rFonts w:hint="eastAsia" w:ascii="Times New Roman" w:hAnsi="Times New Roman" w:eastAsia="仿宋_GB2312"/>
          <w:sz w:val="28"/>
          <w:szCs w:val="28"/>
        </w:rPr>
        <w:t>公顷，规划用途为工业用地</w:t>
      </w:r>
      <w:r>
        <w:rPr>
          <w:rFonts w:ascii="Times New Roman" w:hAnsi="Times New Roman" w:eastAsia="仿宋_GB2312"/>
          <w:sz w:val="28"/>
          <w:szCs w:val="28"/>
        </w:rPr>
        <w:t>193.12公顷，占比为38.03%；</w:t>
      </w:r>
      <w:r>
        <w:rPr>
          <w:rFonts w:hint="eastAsia" w:ascii="Times New Roman" w:hAnsi="Times New Roman" w:eastAsia="仿宋_GB2312"/>
          <w:sz w:val="28"/>
          <w:szCs w:val="28"/>
        </w:rPr>
        <w:t>居住用地</w:t>
      </w:r>
      <w:r>
        <w:rPr>
          <w:rFonts w:ascii="Times New Roman" w:hAnsi="Times New Roman" w:eastAsia="仿宋_GB2312"/>
          <w:sz w:val="28"/>
          <w:szCs w:val="28"/>
        </w:rPr>
        <w:t>65.65公顷，占比为12.93%；</w:t>
      </w:r>
      <w:r>
        <w:rPr>
          <w:rFonts w:hint="eastAsia" w:ascii="Times New Roman" w:hAnsi="Times New Roman" w:eastAsia="仿宋_GB2312"/>
          <w:sz w:val="28"/>
          <w:szCs w:val="28"/>
        </w:rPr>
        <w:t>道路与交通设施用地</w:t>
      </w:r>
      <w:r>
        <w:rPr>
          <w:rFonts w:ascii="Times New Roman" w:hAnsi="Times New Roman" w:eastAsia="仿宋_GB2312"/>
          <w:sz w:val="28"/>
          <w:szCs w:val="28"/>
        </w:rPr>
        <w:t>163.45公顷，占比为32.18%</w:t>
      </w:r>
      <w:r>
        <w:rPr>
          <w:rFonts w:hint="eastAsia" w:ascii="Times New Roman" w:hAnsi="Times New Roman" w:eastAsia="仿宋_GB2312"/>
          <w:sz w:val="28"/>
          <w:szCs w:val="28"/>
        </w:rPr>
        <w:t>；绿地与广场用地</w:t>
      </w:r>
      <w:r>
        <w:rPr>
          <w:rFonts w:ascii="Times New Roman" w:hAnsi="Times New Roman" w:eastAsia="仿宋_GB2312"/>
          <w:sz w:val="28"/>
          <w:szCs w:val="28"/>
        </w:rPr>
        <w:t>64.76公顷，占比为12.75%</w:t>
      </w:r>
      <w:r>
        <w:rPr>
          <w:rFonts w:hint="eastAsia" w:ascii="Times New Roman" w:hAnsi="Times New Roman" w:eastAsia="仿宋_GB2312"/>
          <w:sz w:val="28"/>
          <w:szCs w:val="28"/>
        </w:rPr>
        <w:t>；公共管理与公共服务设施用地</w:t>
      </w:r>
      <w:r>
        <w:rPr>
          <w:rFonts w:ascii="Times New Roman" w:hAnsi="Times New Roman" w:eastAsia="仿宋_GB2312"/>
          <w:sz w:val="28"/>
          <w:szCs w:val="28"/>
        </w:rPr>
        <w:t>3.23公顷，占比为0.64%</w:t>
      </w:r>
      <w:r>
        <w:rPr>
          <w:rFonts w:hint="eastAsia" w:ascii="Times New Roman" w:hAnsi="Times New Roman" w:eastAsia="仿宋_GB2312"/>
          <w:sz w:val="28"/>
          <w:szCs w:val="28"/>
        </w:rPr>
        <w:t>；商业服务业设施用地</w:t>
      </w:r>
      <w:r>
        <w:rPr>
          <w:rFonts w:ascii="Times New Roman" w:hAnsi="Times New Roman" w:eastAsia="仿宋_GB2312"/>
          <w:sz w:val="28"/>
          <w:szCs w:val="28"/>
        </w:rPr>
        <w:t>16.17公顷</w:t>
      </w:r>
      <w:r>
        <w:rPr>
          <w:rFonts w:hint="eastAsia" w:ascii="Times New Roman" w:hAnsi="Times New Roman" w:eastAsia="仿宋_GB2312"/>
          <w:sz w:val="28"/>
          <w:szCs w:val="28"/>
        </w:rPr>
        <w:t>，</w:t>
      </w:r>
      <w:r>
        <w:rPr>
          <w:rFonts w:ascii="Times New Roman" w:hAnsi="Times New Roman" w:eastAsia="仿宋_GB2312"/>
          <w:sz w:val="28"/>
          <w:szCs w:val="28"/>
        </w:rPr>
        <w:t>占比为3.18%</w:t>
      </w:r>
      <w:r>
        <w:rPr>
          <w:rFonts w:hint="eastAsia" w:ascii="Times New Roman" w:hAnsi="Times New Roman" w:eastAsia="仿宋_GB2312"/>
          <w:sz w:val="28"/>
          <w:szCs w:val="28"/>
        </w:rPr>
        <w:t>；公用设施用地</w:t>
      </w:r>
      <w:r>
        <w:rPr>
          <w:rFonts w:ascii="Times New Roman" w:hAnsi="Times New Roman" w:eastAsia="仿宋_GB2312"/>
          <w:sz w:val="28"/>
          <w:szCs w:val="28"/>
        </w:rPr>
        <w:t>1.47公顷</w:t>
      </w:r>
      <w:r>
        <w:rPr>
          <w:rFonts w:hint="eastAsia" w:ascii="Times New Roman" w:hAnsi="Times New Roman" w:eastAsia="仿宋_GB2312"/>
          <w:sz w:val="28"/>
          <w:szCs w:val="28"/>
        </w:rPr>
        <w:t>，</w:t>
      </w:r>
      <w:r>
        <w:rPr>
          <w:rFonts w:ascii="Times New Roman" w:hAnsi="Times New Roman" w:eastAsia="仿宋_GB2312"/>
          <w:sz w:val="28"/>
          <w:szCs w:val="28"/>
        </w:rPr>
        <w:t>占比为0.29%</w:t>
      </w:r>
      <w:r>
        <w:rPr>
          <w:rFonts w:hint="eastAsia" w:ascii="Times New Roman" w:hAnsi="Times New Roman" w:eastAsia="仿宋_GB2312"/>
          <w:sz w:val="28"/>
          <w:szCs w:val="28"/>
        </w:rPr>
        <w:t>。</w:t>
      </w:r>
    </w:p>
    <w:p>
      <w:pPr>
        <w:spacing w:line="360" w:lineRule="auto"/>
        <w:ind w:firstLine="560" w:firstLineChars="200"/>
        <w:rPr>
          <w:rFonts w:ascii="Times New Roman" w:hAnsi="Times New Roman" w:eastAsia="仿宋_GB2312"/>
          <w:sz w:val="28"/>
          <w:szCs w:val="28"/>
        </w:rPr>
      </w:pPr>
      <w:bookmarkStart w:id="5" w:name="_Toc69736462"/>
      <w:r>
        <w:rPr>
          <w:rFonts w:hint="eastAsia" w:ascii="Times New Roman" w:hAnsi="Times New Roman" w:eastAsia="仿宋_GB2312"/>
          <w:color w:val="000000" w:themeColor="text1"/>
          <w:sz w:val="28"/>
          <w:szCs w:val="28"/>
        </w:rPr>
        <w:t>本</w:t>
      </w:r>
      <w:r>
        <w:rPr>
          <w:rFonts w:hint="eastAsia" w:ascii="Times New Roman" w:hAnsi="Times New Roman" w:eastAsia="仿宋_GB2312"/>
          <w:color w:val="000000" w:themeColor="text1"/>
          <w:sz w:val="28"/>
        </w:rPr>
        <w:t>成片开发方案</w:t>
      </w:r>
      <w:r>
        <w:rPr>
          <w:rFonts w:hint="eastAsia" w:ascii="Times New Roman" w:hAnsi="Times New Roman" w:eastAsia="仿宋_GB2312"/>
          <w:sz w:val="28"/>
          <w:szCs w:val="28"/>
        </w:rPr>
        <w:t>主要服务于南昌县小蓝经开区的用地需求，开发有利于进一步深化小蓝汽车产业园的汽车制造产业，丰富开发区产业类型体系，带动区域经济和社会发展，打造产业发达、生产生活设施配套完善的现代化工业片区，进一步推动区域产业发展，助力塑造“昌南智造”新优势。</w:t>
      </w:r>
    </w:p>
    <w:p>
      <w:pPr>
        <w:pStyle w:val="7"/>
        <w:ind w:firstLine="560"/>
        <w:rPr>
          <w:rFonts w:ascii="Times New Roman" w:hAnsi="Times New Roman" w:eastAsia="仿宋_GB2312"/>
          <w:color w:val="000000" w:themeColor="text1"/>
          <w:sz w:val="28"/>
        </w:rPr>
      </w:pPr>
      <w:r>
        <w:rPr>
          <w:rFonts w:hint="eastAsia" w:ascii="Times New Roman" w:hAnsi="Times New Roman" w:eastAsia="仿宋_GB2312"/>
          <w:color w:val="000000" w:themeColor="text1"/>
          <w:sz w:val="28"/>
        </w:rPr>
        <w:t>其中工业用地主要是</w:t>
      </w:r>
      <w:r>
        <w:rPr>
          <w:rFonts w:ascii="Times New Roman" w:hAnsi="Times New Roman" w:eastAsia="仿宋_GB2312"/>
          <w:color w:val="000000" w:themeColor="text1"/>
          <w:sz w:val="28"/>
        </w:rPr>
        <w:t>实现工业建设用地需要功能，</w:t>
      </w:r>
      <w:r>
        <w:rPr>
          <w:rFonts w:hint="eastAsia" w:ascii="Times New Roman" w:hAnsi="Times New Roman" w:eastAsia="仿宋_GB2312"/>
          <w:color w:val="000000" w:themeColor="text1"/>
          <w:sz w:val="28"/>
        </w:rPr>
        <w:t>并</w:t>
      </w:r>
      <w:r>
        <w:rPr>
          <w:rFonts w:ascii="Times New Roman" w:hAnsi="Times New Roman" w:eastAsia="仿宋_GB2312"/>
          <w:color w:val="000000" w:themeColor="text1"/>
          <w:sz w:val="28"/>
        </w:rPr>
        <w:t>促进工业化发展，推动城市化进程；</w:t>
      </w:r>
    </w:p>
    <w:p>
      <w:pPr>
        <w:pStyle w:val="7"/>
        <w:ind w:firstLine="560"/>
        <w:rPr>
          <w:rFonts w:ascii="Times New Roman" w:hAnsi="Times New Roman" w:eastAsia="仿宋_GB2312"/>
          <w:color w:val="000000" w:themeColor="text1"/>
          <w:sz w:val="28"/>
        </w:rPr>
      </w:pPr>
      <w:r>
        <w:rPr>
          <w:rFonts w:hint="eastAsia" w:ascii="Times New Roman" w:hAnsi="Times New Roman" w:eastAsia="仿宋_GB2312"/>
          <w:color w:val="000000" w:themeColor="text1"/>
          <w:sz w:val="28"/>
        </w:rPr>
        <w:t>居住用地主要是实现集中建设，改善居民生活条件，减少分散性居民点用地，</w:t>
      </w:r>
      <w:r>
        <w:rPr>
          <w:rFonts w:ascii="Times New Roman" w:hAnsi="Times New Roman" w:eastAsia="仿宋_GB2312"/>
          <w:color w:val="000000" w:themeColor="text1"/>
          <w:sz w:val="28"/>
        </w:rPr>
        <w:t>促进片区功能调整</w:t>
      </w:r>
      <w:r>
        <w:rPr>
          <w:rFonts w:hint="eastAsia" w:ascii="Times New Roman" w:hAnsi="Times New Roman" w:eastAsia="仿宋_GB2312"/>
          <w:color w:val="000000" w:themeColor="text1"/>
          <w:sz w:val="28"/>
        </w:rPr>
        <w:t>，集约节约用地；</w:t>
      </w:r>
    </w:p>
    <w:p>
      <w:pPr>
        <w:pStyle w:val="7"/>
        <w:ind w:firstLine="560"/>
        <w:rPr>
          <w:rFonts w:ascii="Times New Roman" w:hAnsi="Times New Roman" w:eastAsia="仿宋_GB2312"/>
          <w:color w:val="000000" w:themeColor="text1"/>
          <w:sz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>道路与交通设施用地</w:t>
      </w:r>
      <w:r>
        <w:rPr>
          <w:rFonts w:hint="eastAsia" w:ascii="Times New Roman" w:hAnsi="Times New Roman" w:eastAsia="仿宋_GB2312"/>
          <w:color w:val="000000" w:themeColor="text1"/>
          <w:sz w:val="28"/>
        </w:rPr>
        <w:t>主要是</w:t>
      </w:r>
      <w:r>
        <w:rPr>
          <w:rFonts w:ascii="Times New Roman" w:hAnsi="Times New Roman" w:eastAsia="仿宋_GB2312"/>
          <w:color w:val="000000" w:themeColor="text1"/>
          <w:sz w:val="28"/>
        </w:rPr>
        <w:t>完善道路交通设施建设功能，可为周边群众和产业园提供便利的交通通道，提高出行可达性和交通效率，促进片区功能调整，使整个区域发展环境得到改善，进而带动沿线区域经济发展</w:t>
      </w:r>
      <w:r>
        <w:rPr>
          <w:rFonts w:hint="eastAsia" w:ascii="Times New Roman" w:hAnsi="Times New Roman" w:eastAsia="仿宋_GB2312"/>
          <w:color w:val="000000" w:themeColor="text1"/>
          <w:sz w:val="28"/>
        </w:rPr>
        <w:t>；</w:t>
      </w:r>
    </w:p>
    <w:p>
      <w:pPr>
        <w:pStyle w:val="7"/>
        <w:ind w:firstLine="560"/>
      </w:pPr>
      <w:r>
        <w:rPr>
          <w:rFonts w:hint="eastAsia" w:ascii="Times New Roman" w:hAnsi="Times New Roman" w:eastAsia="仿宋_GB2312"/>
          <w:sz w:val="28"/>
          <w:szCs w:val="28"/>
        </w:rPr>
        <w:t>绿地与广场用地</w:t>
      </w:r>
      <w:r>
        <w:rPr>
          <w:rFonts w:hint="eastAsia" w:ascii="Times New Roman" w:hAnsi="Times New Roman" w:eastAsia="仿宋_GB2312"/>
          <w:color w:val="000000" w:themeColor="text1"/>
          <w:sz w:val="28"/>
        </w:rPr>
        <w:t>主要是</w:t>
      </w:r>
      <w:r>
        <w:rPr>
          <w:rFonts w:ascii="Times New Roman" w:hAnsi="Times New Roman" w:eastAsia="仿宋_GB2312"/>
          <w:color w:val="000000" w:themeColor="text1"/>
          <w:sz w:val="28"/>
        </w:rPr>
        <w:t>构建公园形态与城市空间有机融合、生产生活生态空间相宜、人城境业高度和谐的空间格局</w:t>
      </w:r>
      <w:r>
        <w:rPr>
          <w:rFonts w:hint="eastAsia" w:ascii="Times New Roman" w:hAnsi="Times New Roman" w:eastAsia="仿宋_GB2312"/>
          <w:color w:val="000000" w:themeColor="text1"/>
          <w:sz w:val="28"/>
        </w:rPr>
        <w:t>，提升</w:t>
      </w:r>
      <w:r>
        <w:rPr>
          <w:rFonts w:ascii="Times New Roman" w:hAnsi="Times New Roman" w:eastAsia="仿宋_GB2312"/>
          <w:color w:val="000000" w:themeColor="text1"/>
          <w:sz w:val="28"/>
        </w:rPr>
        <w:t>居民公共空间功能</w:t>
      </w:r>
      <w:r>
        <w:rPr>
          <w:rFonts w:hint="eastAsia" w:ascii="Times New Roman" w:hAnsi="Times New Roman" w:eastAsia="仿宋_GB2312"/>
          <w:color w:val="000000" w:themeColor="text1"/>
          <w:sz w:val="28"/>
        </w:rPr>
        <w:t>；</w:t>
      </w:r>
    </w:p>
    <w:p>
      <w:pPr>
        <w:pStyle w:val="7"/>
        <w:ind w:firstLine="560"/>
        <w:rPr>
          <w:rFonts w:ascii="Times New Roman" w:hAnsi="Times New Roman" w:eastAsia="仿宋_GB2312"/>
          <w:color w:val="000000" w:themeColor="text1"/>
          <w:sz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>公共管理与公共服务设施用地</w:t>
      </w:r>
      <w:r>
        <w:rPr>
          <w:rFonts w:hint="eastAsia" w:ascii="Times New Roman" w:hAnsi="Times New Roman" w:eastAsia="仿宋_GB2312"/>
          <w:color w:val="000000" w:themeColor="text1"/>
          <w:sz w:val="28"/>
        </w:rPr>
        <w:t>主要是</w:t>
      </w:r>
      <w:r>
        <w:rPr>
          <w:rFonts w:hint="eastAsia" w:eastAsia="仿宋_GB2312"/>
          <w:sz w:val="28"/>
          <w:szCs w:val="28"/>
        </w:rPr>
        <w:t>完善周边区域配套设施布置功能，为周边社区居民提供便民利民、文化娱乐等公共场所，提高居民生活质量，增强群众幸福感</w:t>
      </w:r>
      <w:r>
        <w:rPr>
          <w:rFonts w:hint="eastAsia" w:ascii="Times New Roman" w:hAnsi="Times New Roman" w:eastAsia="仿宋_GB2312"/>
          <w:color w:val="000000" w:themeColor="text1"/>
          <w:sz w:val="28"/>
        </w:rPr>
        <w:t>；</w:t>
      </w:r>
    </w:p>
    <w:p>
      <w:pPr>
        <w:pStyle w:val="7"/>
        <w:ind w:firstLine="560"/>
        <w:rPr>
          <w:rFonts w:ascii="Times New Roman" w:hAnsi="Times New Roman" w:eastAsia="仿宋_GB2312"/>
          <w:sz w:val="28"/>
          <w:szCs w:val="28"/>
        </w:rPr>
      </w:pPr>
      <w:r>
        <w:rPr>
          <w:rFonts w:hint="eastAsia" w:ascii="Times New Roman" w:hAnsi="Times New Roman" w:eastAsia="仿宋_GB2312"/>
          <w:sz w:val="28"/>
          <w:szCs w:val="28"/>
        </w:rPr>
        <w:t>商业服务业设施用地主要是打造多功能、多业种、多业态的商业集合体，成为扩大内需和拉动经济发展的新引擎。</w:t>
      </w:r>
    </w:p>
    <w:p>
      <w:pPr>
        <w:pStyle w:val="2"/>
        <w:spacing w:line="240" w:lineRule="auto"/>
        <w:ind w:left="0" w:firstLine="640" w:firstLineChars="200"/>
        <w:rPr>
          <w:rFonts w:ascii="Times New Roman" w:hAnsi="Times New Roman" w:eastAsia="黑体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黑体"/>
          <w:b w:val="0"/>
          <w:bCs w:val="0"/>
          <w:sz w:val="32"/>
          <w:szCs w:val="32"/>
        </w:rPr>
        <w:t>六、成片开发计划</w:t>
      </w:r>
      <w:bookmarkEnd w:id="5"/>
    </w:p>
    <w:p>
      <w:pPr>
        <w:ind w:firstLine="640"/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成片开发方案</w:t>
      </w:r>
      <w:r>
        <w:rPr>
          <w:rFonts w:ascii="Times New Roman" w:hAnsi="Times New Roman" w:eastAsia="仿宋_GB2312" w:cs="仿宋_GB2312"/>
          <w:sz w:val="28"/>
          <w:szCs w:val="28"/>
        </w:rPr>
        <w:t>实施期限为</w:t>
      </w:r>
      <w:r>
        <w:rPr>
          <w:rFonts w:hint="eastAsia" w:ascii="Times New Roman" w:hAnsi="Times New Roman" w:eastAsia="仿宋_GB2312" w:cs="仿宋_GB2312"/>
          <w:sz w:val="28"/>
          <w:szCs w:val="28"/>
        </w:rPr>
        <w:t>两</w:t>
      </w:r>
      <w:r>
        <w:rPr>
          <w:rFonts w:ascii="Times New Roman" w:hAnsi="Times New Roman" w:eastAsia="仿宋_GB2312" w:cs="仿宋_GB2312"/>
          <w:sz w:val="28"/>
          <w:szCs w:val="28"/>
        </w:rPr>
        <w:t>年，</w:t>
      </w:r>
      <w:r>
        <w:rPr>
          <w:rFonts w:hint="eastAsia" w:ascii="Times New Roman" w:hAnsi="Times New Roman" w:eastAsia="仿宋_GB2312" w:cs="仿宋_GB2312"/>
          <w:sz w:val="28"/>
          <w:szCs w:val="28"/>
        </w:rPr>
        <w:t>项目建设规模可行、内容有保障，采取的节约集约用地措施可行，</w:t>
      </w:r>
      <w:r>
        <w:rPr>
          <w:rFonts w:ascii="Times New Roman" w:hAnsi="Times New Roman" w:eastAsia="仿宋_GB2312" w:cs="仿宋_GB2312"/>
          <w:sz w:val="28"/>
          <w:szCs w:val="28"/>
        </w:rPr>
        <w:t>成片开发计划具备可行性。</w:t>
      </w:r>
    </w:p>
    <w:p>
      <w:pPr>
        <w:pStyle w:val="2"/>
        <w:spacing w:line="240" w:lineRule="auto"/>
        <w:ind w:left="0" w:firstLine="640" w:firstLineChars="200"/>
        <w:rPr>
          <w:rFonts w:ascii="Times New Roman" w:hAnsi="Times New Roman" w:eastAsia="黑体"/>
          <w:b w:val="0"/>
          <w:bCs w:val="0"/>
          <w:sz w:val="32"/>
          <w:szCs w:val="32"/>
        </w:rPr>
      </w:pPr>
      <w:bookmarkStart w:id="6" w:name="_Toc69736470"/>
      <w:r>
        <w:rPr>
          <w:rFonts w:hint="eastAsia" w:ascii="Times New Roman" w:hAnsi="Times New Roman" w:eastAsia="黑体"/>
          <w:b w:val="0"/>
          <w:bCs w:val="0"/>
          <w:sz w:val="32"/>
          <w:szCs w:val="32"/>
        </w:rPr>
        <w:t>七、公益性用地情况</w:t>
      </w:r>
      <w:bookmarkEnd w:id="6"/>
    </w:p>
    <w:p>
      <w:pPr>
        <w:ind w:firstLine="640"/>
        <w:rPr>
          <w:rFonts w:ascii="Times New Roman" w:hAnsi="Times New Roman" w:eastAsia="仿宋_GB2312" w:cs="仿宋_GB2312"/>
          <w:sz w:val="28"/>
          <w:szCs w:val="28"/>
        </w:rPr>
      </w:pPr>
      <w:bookmarkStart w:id="7" w:name="_Toc69736471"/>
      <w:r>
        <w:rPr>
          <w:rFonts w:hint="eastAsia" w:ascii="Times New Roman" w:hAnsi="Times New Roman" w:eastAsia="仿宋_GB2312" w:cs="仿宋_GB2312"/>
          <w:sz w:val="28"/>
          <w:szCs w:val="28"/>
        </w:rPr>
        <w:t>本成片开发方案中涉及公益性用地包括道路与交通设施用地、绿地与广场用地、公共管理与公共服务设施用地和公用设施用地等，合计</w:t>
      </w:r>
      <w:r>
        <w:rPr>
          <w:rFonts w:ascii="Times New Roman" w:hAnsi="Times New Roman" w:eastAsia="仿宋_GB2312" w:cs="仿宋_GB2312"/>
          <w:sz w:val="28"/>
          <w:szCs w:val="28"/>
        </w:rPr>
        <w:t>232.91</w:t>
      </w:r>
      <w:r>
        <w:rPr>
          <w:rFonts w:hint="eastAsia" w:ascii="Times New Roman" w:hAnsi="Times New Roman" w:eastAsia="仿宋_GB2312" w:cs="仿宋_GB2312"/>
          <w:sz w:val="28"/>
          <w:szCs w:val="28"/>
        </w:rPr>
        <w:t>公顷，</w:t>
      </w:r>
      <w:r>
        <w:rPr>
          <w:rFonts w:ascii="Times New Roman" w:hAnsi="Times New Roman" w:eastAsia="仿宋_GB2312" w:cs="仿宋_GB2312"/>
          <w:sz w:val="28"/>
          <w:szCs w:val="28"/>
        </w:rPr>
        <w:t>占</w:t>
      </w:r>
      <w:bookmarkStart w:id="8" w:name="_Hlk77511245"/>
      <w:r>
        <w:rPr>
          <w:rFonts w:ascii="Times New Roman" w:hAnsi="Times New Roman" w:eastAsia="仿宋_GB2312" w:cs="仿宋_GB2312"/>
          <w:sz w:val="28"/>
          <w:szCs w:val="28"/>
        </w:rPr>
        <w:t>用地总面积的</w:t>
      </w:r>
      <w:bookmarkEnd w:id="8"/>
      <w:r>
        <w:rPr>
          <w:rFonts w:ascii="Times New Roman" w:hAnsi="Times New Roman" w:eastAsia="仿宋_GB2312" w:cs="仿宋_GB2312"/>
          <w:sz w:val="28"/>
          <w:szCs w:val="28"/>
        </w:rPr>
        <w:t>45.86%</w:t>
      </w:r>
      <w:r>
        <w:rPr>
          <w:rFonts w:hint="eastAsia" w:ascii="Times New Roman" w:hAnsi="Times New Roman" w:eastAsia="仿宋_GB2312" w:cs="仿宋_GB2312"/>
          <w:sz w:val="28"/>
          <w:szCs w:val="28"/>
        </w:rPr>
        <w:t>。</w:t>
      </w:r>
      <w:r>
        <w:rPr>
          <w:rFonts w:ascii="Times New Roman" w:hAnsi="Times New Roman" w:eastAsia="仿宋_GB2312" w:cs="仿宋_GB2312"/>
          <w:sz w:val="28"/>
          <w:szCs w:val="28"/>
        </w:rPr>
        <w:t>符合赣府厅发〔2021〕2号文规定</w:t>
      </w:r>
      <w:r>
        <w:rPr>
          <w:rFonts w:hint="eastAsia" w:ascii="Times New Roman" w:hAnsi="Times New Roman" w:eastAsia="仿宋_GB2312" w:cs="仿宋_GB2312"/>
          <w:sz w:val="28"/>
          <w:szCs w:val="28"/>
        </w:rPr>
        <w:t>。</w:t>
      </w:r>
    </w:p>
    <w:p>
      <w:pPr>
        <w:pStyle w:val="2"/>
        <w:spacing w:line="240" w:lineRule="auto"/>
        <w:ind w:left="0" w:firstLine="640" w:firstLineChars="200"/>
        <w:rPr>
          <w:rFonts w:ascii="Times New Roman" w:hAnsi="Times New Roman" w:eastAsia="黑体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黑体"/>
          <w:b w:val="0"/>
          <w:bCs w:val="0"/>
          <w:sz w:val="32"/>
          <w:szCs w:val="32"/>
        </w:rPr>
        <w:t>八、</w:t>
      </w:r>
      <w:bookmarkEnd w:id="7"/>
      <w:r>
        <w:rPr>
          <w:rFonts w:hint="eastAsia" w:ascii="Times New Roman" w:hAnsi="Times New Roman" w:eastAsia="黑体"/>
          <w:b w:val="0"/>
          <w:bCs w:val="0"/>
          <w:sz w:val="32"/>
          <w:szCs w:val="32"/>
        </w:rPr>
        <w:t>成片开发的土地利用及经济、社会、生态效益</w:t>
      </w:r>
    </w:p>
    <w:p>
      <w:pPr>
        <w:spacing w:line="360" w:lineRule="auto"/>
        <w:ind w:firstLine="560" w:firstLineChars="200"/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成片开发方案科学确定了年度成片开发的规模、用途及规划强度，有利于强化规划的引领作用，优化土地利用空间格局，因地制宜配置用地，充分发挥土地要素在</w:t>
      </w:r>
      <w:r>
        <w:rPr>
          <w:rFonts w:hint="eastAsia" w:ascii="Times New Roman" w:hAnsi="Times New Roman" w:eastAsia="仿宋_GB2312" w:cs="仿宋_GB2312"/>
          <w:kern w:val="0"/>
          <w:sz w:val="28"/>
          <w:szCs w:val="28"/>
        </w:rPr>
        <w:t>小蓝汽车产业园</w:t>
      </w:r>
      <w:r>
        <w:rPr>
          <w:rFonts w:hint="eastAsia" w:ascii="Times New Roman" w:hAnsi="Times New Roman" w:eastAsia="仿宋_GB2312"/>
          <w:sz w:val="28"/>
          <w:szCs w:val="28"/>
        </w:rPr>
        <w:t>片区</w:t>
      </w:r>
      <w:r>
        <w:rPr>
          <w:rFonts w:hint="eastAsia" w:ascii="Times New Roman" w:hAnsi="Times New Roman" w:eastAsia="仿宋_GB2312" w:cs="仿宋_GB2312"/>
          <w:sz w:val="28"/>
          <w:szCs w:val="28"/>
        </w:rPr>
        <w:t>建设发展中的作用，实现土地要素到资产转变，</w:t>
      </w:r>
      <w:r>
        <w:rPr>
          <w:rFonts w:hint="eastAsia" w:ascii="Times New Roman" w:hAnsi="Times New Roman" w:eastAsia="仿宋_GB2312" w:cs="仿宋_GB2312"/>
          <w:kern w:val="0"/>
          <w:sz w:val="28"/>
          <w:szCs w:val="28"/>
        </w:rPr>
        <w:t>产生良好经济效益。方案实施后有利于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带动当地就业，提升居民生活水平，提升城镇品质，</w:t>
      </w:r>
      <w:r>
        <w:rPr>
          <w:rFonts w:hint="eastAsia" w:ascii="Times New Roman" w:hAnsi="Times New Roman" w:eastAsia="仿宋_GB2312" w:cs="仿宋_GB2312"/>
          <w:kern w:val="0"/>
          <w:sz w:val="28"/>
          <w:szCs w:val="28"/>
        </w:rPr>
        <w:t>增强</w:t>
      </w:r>
      <w:r>
        <w:rPr>
          <w:rFonts w:hint="eastAsia" w:ascii="Times New Roman" w:hAnsi="Times New Roman" w:eastAsia="仿宋_GB2312" w:cs="仿宋_GB2312"/>
          <w:sz w:val="28"/>
          <w:szCs w:val="28"/>
        </w:rPr>
        <w:t>产业竞争力，能</w:t>
      </w:r>
      <w:r>
        <w:rPr>
          <w:rFonts w:hint="eastAsia" w:ascii="Times New Roman" w:hAnsi="Times New Roman" w:eastAsia="仿宋_GB2312" w:cs="仿宋_GB2312"/>
          <w:kern w:val="0"/>
          <w:sz w:val="28"/>
          <w:szCs w:val="28"/>
        </w:rPr>
        <w:t>产生良好社会效益。通过公园绿地建设、污水集中收集处理等措施，对区域景观生态和人居环境有一定的改善作用，</w:t>
      </w:r>
      <w:r>
        <w:rPr>
          <w:rFonts w:hint="eastAsia" w:ascii="Times New Roman" w:hAnsi="Times New Roman" w:eastAsia="仿宋_GB2312" w:cs="仿宋_GB2312"/>
          <w:sz w:val="28"/>
          <w:szCs w:val="28"/>
        </w:rPr>
        <w:t>能</w:t>
      </w:r>
      <w:r>
        <w:rPr>
          <w:rFonts w:hint="eastAsia" w:ascii="Times New Roman" w:hAnsi="Times New Roman" w:eastAsia="仿宋_GB2312" w:cs="仿宋_GB2312"/>
          <w:kern w:val="0"/>
          <w:sz w:val="28"/>
          <w:szCs w:val="28"/>
        </w:rPr>
        <w:t>产生良好生态效益。</w:t>
      </w:r>
    </w:p>
    <w:p>
      <w:pPr>
        <w:pStyle w:val="2"/>
        <w:spacing w:line="240" w:lineRule="auto"/>
        <w:ind w:left="0" w:firstLine="640" w:firstLineChars="200"/>
        <w:rPr>
          <w:rFonts w:ascii="Times New Roman" w:hAnsi="Times New Roman" w:eastAsia="黑体"/>
          <w:b w:val="0"/>
          <w:bCs w:val="0"/>
          <w:sz w:val="32"/>
          <w:szCs w:val="32"/>
        </w:rPr>
      </w:pPr>
      <w:r>
        <w:rPr>
          <w:rFonts w:hint="eastAsia" w:ascii="Times New Roman" w:hAnsi="Times New Roman" w:eastAsia="黑体"/>
          <w:b w:val="0"/>
          <w:bCs w:val="0"/>
          <w:sz w:val="32"/>
          <w:szCs w:val="32"/>
        </w:rPr>
        <w:t>九、结论</w:t>
      </w:r>
    </w:p>
    <w:p>
      <w:pPr>
        <w:spacing w:line="360" w:lineRule="auto"/>
        <w:ind w:firstLine="560" w:firstLineChars="200"/>
        <w:rPr>
          <w:rFonts w:ascii="Times New Roman" w:hAnsi="Times New Roman" w:eastAsia="仿宋_GB2312" w:cs="仿宋_GB2312"/>
          <w:sz w:val="28"/>
          <w:szCs w:val="28"/>
        </w:rPr>
      </w:pPr>
      <w:r>
        <w:rPr>
          <w:rFonts w:hint="eastAsia" w:ascii="Times New Roman" w:hAnsi="Times New Roman" w:eastAsia="仿宋_GB2312" w:cs="仿宋_GB2312"/>
          <w:sz w:val="28"/>
          <w:szCs w:val="28"/>
        </w:rPr>
        <w:t>该方案符合</w:t>
      </w:r>
      <w:r>
        <w:rPr>
          <w:rFonts w:hint="eastAsia" w:ascii="Times New Roman" w:hAnsi="Times New Roman" w:eastAsia="仿宋_GB2312" w:cs="仿宋_GB2312"/>
          <w:color w:val="000000" w:themeColor="text1"/>
          <w:sz w:val="28"/>
          <w:szCs w:val="28"/>
        </w:rPr>
        <w:t>《自然资源部关于印发&lt;土地征收成片开发标准（试行）&gt;的通知》（自然资规〔2020〕5号）</w:t>
      </w:r>
      <w:r>
        <w:rPr>
          <w:rFonts w:ascii="Times New Roman" w:hAnsi="Times New Roman" w:eastAsia="仿宋_GB2312" w:cs="仿宋_GB2312"/>
          <w:sz w:val="28"/>
          <w:szCs w:val="28"/>
        </w:rPr>
        <w:t>和《江西省人民政府办公厅关于执行土地征收成片开发标准(试行)的指导意见》（赣府厅发〔2021〕2号）的要求</w:t>
      </w:r>
      <w:r>
        <w:rPr>
          <w:rFonts w:hint="eastAsia" w:ascii="Times New Roman" w:hAnsi="Times New Roman" w:eastAsia="仿宋_GB2312" w:cs="仿宋_GB2312"/>
          <w:sz w:val="28"/>
          <w:szCs w:val="28"/>
        </w:rPr>
        <w:t>，总体可行。</w:t>
      </w:r>
    </w:p>
    <w:p>
      <w:pPr>
        <w:widowControl/>
        <w:jc w:val="left"/>
        <w:rPr>
          <w:rFonts w:ascii="Times New Roman" w:hAnsi="Times New Roman" w:eastAsia="仿宋_GB2312" w:cs="仿宋_GB2312"/>
          <w:sz w:val="28"/>
          <w:szCs w:val="28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tabs>
          <w:tab w:val="left" w:pos="1390"/>
        </w:tabs>
        <w:jc w:val="center"/>
        <w:rPr>
          <w:rFonts w:ascii="Times New Roman" w:hAnsi="Times New Roman" w:eastAsia="仿宋_GB2312" w:cs="仿宋_GB2312"/>
          <w:kern w:val="0"/>
          <w:sz w:val="28"/>
          <w:szCs w:val="28"/>
        </w:rPr>
      </w:pPr>
      <w:r>
        <w:rPr>
          <w:rFonts w:ascii="Times New Roman" w:hAnsi="Times New Roman" w:eastAsia="仿宋_GB2312" w:cs="仿宋_GB2312"/>
          <w:kern w:val="0"/>
          <w:sz w:val="28"/>
          <w:szCs w:val="28"/>
        </w:rPr>
        <w:pict>
          <v:shape id="_x0000_s1026" o:spid="_x0000_s1026" o:spt="202" type="#_x0000_t202" style="position:absolute;left:0pt;margin-left:1.1pt;margin-top:-27.55pt;height:32.25pt;width:47.35pt;mso-position-horizontal-relative:margin;mso-wrap-distance-bottom:3.6pt;mso-wrap-distance-left:9pt;mso-wrap-distance-right:9pt;mso-wrap-distance-top:3.6pt;z-index:251659264;mso-width-relative:margin;mso-height-relative:margin;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">
            <v:path/>
            <v:fill focussize="0,0"/>
            <v:stroke color="#FFFFFF" joinstyle="miter"/>
            <v:imagedata o:title=""/>
            <o:lock v:ext="edit"/>
            <v:textbox>
              <w:txbxContent>
                <w:p>
                  <w:pPr>
                    <w:adjustRightInd w:val="0"/>
                    <w:jc w:val="center"/>
                    <w:rPr>
                      <w:rFonts w:ascii="黑体" w:hAnsi="黑体" w:eastAsia="黑体"/>
                      <w:sz w:val="32"/>
                      <w:szCs w:val="32"/>
                    </w:rPr>
                  </w:pPr>
                  <w:r>
                    <w:rPr>
                      <w:rFonts w:hint="eastAsia" w:ascii="黑体" w:hAnsi="黑体" w:eastAsia="黑体"/>
                      <w:sz w:val="32"/>
                      <w:szCs w:val="32"/>
                    </w:rPr>
                    <w:t>附图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eastAsia="仿宋_GB2312" w:cs="仿宋_GB2312"/>
          <w:kern w:val="0"/>
          <w:sz w:val="28"/>
          <w:szCs w:val="28"/>
        </w:rPr>
        <w:drawing>
          <wp:inline distT="0" distB="0" distL="0" distR="0">
            <wp:extent cx="11892280" cy="84093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2309" cy="840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仿宋_GB2312"/>
          <w:kern w:val="0"/>
          <w:sz w:val="28"/>
          <w:szCs w:val="28"/>
        </w:rPr>
      </w:pPr>
      <w:r>
        <w:rPr>
          <w:rFonts w:ascii="Times New Roman" w:hAnsi="Times New Roman" w:eastAsia="仿宋_GB2312" w:cs="仿宋_GB2312"/>
          <w:kern w:val="0"/>
          <w:sz w:val="28"/>
          <w:szCs w:val="28"/>
        </w:rPr>
        <w:drawing>
          <wp:inline distT="0" distB="0" distL="0" distR="0">
            <wp:extent cx="11879580" cy="84004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9739" cy="840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仿宋_GB2312"/>
          <w:kern w:val="0"/>
          <w:sz w:val="28"/>
          <w:szCs w:val="28"/>
        </w:rPr>
        <w:drawing>
          <wp:inline distT="0" distB="0" distL="0" distR="0">
            <wp:extent cx="11879580" cy="84004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9737" cy="840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23811" w:h="16838" w:orient="landscape"/>
      <w:pgMar w:top="1797" w:right="1440" w:bottom="179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88588614"/>
      <w:docPartObj>
        <w:docPartGallery w:val="autotext"/>
      </w:docPartObj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70252574"/>
      <w:docPartObj>
        <w:docPartGallery w:val="autotext"/>
      </w:docPartObj>
    </w:sdtPr>
    <w:sdtContent>
      <w:p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</w:t>
        </w:r>
        <w: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A7863"/>
    <w:rsid w:val="00002990"/>
    <w:rsid w:val="00003D37"/>
    <w:rsid w:val="00006A39"/>
    <w:rsid w:val="00021358"/>
    <w:rsid w:val="0002202F"/>
    <w:rsid w:val="0002636E"/>
    <w:rsid w:val="00034D98"/>
    <w:rsid w:val="00035302"/>
    <w:rsid w:val="000401A6"/>
    <w:rsid w:val="00044CF4"/>
    <w:rsid w:val="0004620D"/>
    <w:rsid w:val="0004666E"/>
    <w:rsid w:val="00050931"/>
    <w:rsid w:val="00055F67"/>
    <w:rsid w:val="00060E47"/>
    <w:rsid w:val="00064FD9"/>
    <w:rsid w:val="00071B2D"/>
    <w:rsid w:val="000721EE"/>
    <w:rsid w:val="000724BA"/>
    <w:rsid w:val="000726AB"/>
    <w:rsid w:val="0007319E"/>
    <w:rsid w:val="00075EBC"/>
    <w:rsid w:val="000812B6"/>
    <w:rsid w:val="00081EE2"/>
    <w:rsid w:val="00084F32"/>
    <w:rsid w:val="0008792B"/>
    <w:rsid w:val="00095539"/>
    <w:rsid w:val="00095B8B"/>
    <w:rsid w:val="000A1077"/>
    <w:rsid w:val="000A13C1"/>
    <w:rsid w:val="000A1658"/>
    <w:rsid w:val="000A60A2"/>
    <w:rsid w:val="000B0605"/>
    <w:rsid w:val="000B193E"/>
    <w:rsid w:val="000B2666"/>
    <w:rsid w:val="000C0CFE"/>
    <w:rsid w:val="000C761A"/>
    <w:rsid w:val="000C7AC1"/>
    <w:rsid w:val="000D2683"/>
    <w:rsid w:val="000D53B3"/>
    <w:rsid w:val="000E43F0"/>
    <w:rsid w:val="00100D8D"/>
    <w:rsid w:val="00100EE0"/>
    <w:rsid w:val="00101DB0"/>
    <w:rsid w:val="00102897"/>
    <w:rsid w:val="001062CD"/>
    <w:rsid w:val="0010659D"/>
    <w:rsid w:val="00112F50"/>
    <w:rsid w:val="00116210"/>
    <w:rsid w:val="001331DA"/>
    <w:rsid w:val="00141D48"/>
    <w:rsid w:val="00150D9A"/>
    <w:rsid w:val="00152203"/>
    <w:rsid w:val="00153287"/>
    <w:rsid w:val="0016462A"/>
    <w:rsid w:val="00172115"/>
    <w:rsid w:val="001746AF"/>
    <w:rsid w:val="001777DC"/>
    <w:rsid w:val="0018342C"/>
    <w:rsid w:val="001936E2"/>
    <w:rsid w:val="00196223"/>
    <w:rsid w:val="00197248"/>
    <w:rsid w:val="001A0411"/>
    <w:rsid w:val="001A1140"/>
    <w:rsid w:val="001A13B0"/>
    <w:rsid w:val="001A57E9"/>
    <w:rsid w:val="001A7845"/>
    <w:rsid w:val="001B0804"/>
    <w:rsid w:val="001B43BB"/>
    <w:rsid w:val="001B6BFC"/>
    <w:rsid w:val="001C1906"/>
    <w:rsid w:val="001C6D7B"/>
    <w:rsid w:val="001C7025"/>
    <w:rsid w:val="001D0CE8"/>
    <w:rsid w:val="001D0FFA"/>
    <w:rsid w:val="001D21B3"/>
    <w:rsid w:val="001D228A"/>
    <w:rsid w:val="001D5874"/>
    <w:rsid w:val="001E541C"/>
    <w:rsid w:val="001E6B39"/>
    <w:rsid w:val="001F05B5"/>
    <w:rsid w:val="001F106E"/>
    <w:rsid w:val="001F4DF9"/>
    <w:rsid w:val="001F5012"/>
    <w:rsid w:val="001F692B"/>
    <w:rsid w:val="002032B3"/>
    <w:rsid w:val="00203630"/>
    <w:rsid w:val="00206F66"/>
    <w:rsid w:val="00207485"/>
    <w:rsid w:val="00217520"/>
    <w:rsid w:val="002200DF"/>
    <w:rsid w:val="00226DF5"/>
    <w:rsid w:val="0022743E"/>
    <w:rsid w:val="002378EE"/>
    <w:rsid w:val="00237C7B"/>
    <w:rsid w:val="00245225"/>
    <w:rsid w:val="00246E08"/>
    <w:rsid w:val="00257982"/>
    <w:rsid w:val="002601E3"/>
    <w:rsid w:val="00262CBB"/>
    <w:rsid w:val="00265FC8"/>
    <w:rsid w:val="00270D34"/>
    <w:rsid w:val="00271387"/>
    <w:rsid w:val="00273723"/>
    <w:rsid w:val="00274DD8"/>
    <w:rsid w:val="0027500C"/>
    <w:rsid w:val="00277468"/>
    <w:rsid w:val="0028000A"/>
    <w:rsid w:val="00283954"/>
    <w:rsid w:val="00283E5A"/>
    <w:rsid w:val="00284164"/>
    <w:rsid w:val="00284D80"/>
    <w:rsid w:val="002853A5"/>
    <w:rsid w:val="00287056"/>
    <w:rsid w:val="0028762C"/>
    <w:rsid w:val="002905B6"/>
    <w:rsid w:val="00290795"/>
    <w:rsid w:val="00295AE7"/>
    <w:rsid w:val="00297F13"/>
    <w:rsid w:val="002A089A"/>
    <w:rsid w:val="002A1B28"/>
    <w:rsid w:val="002A2CE0"/>
    <w:rsid w:val="002A4A40"/>
    <w:rsid w:val="002A7354"/>
    <w:rsid w:val="002B113E"/>
    <w:rsid w:val="002B6D07"/>
    <w:rsid w:val="002C03E3"/>
    <w:rsid w:val="002C38B2"/>
    <w:rsid w:val="002C4583"/>
    <w:rsid w:val="002C6ED2"/>
    <w:rsid w:val="002D07C0"/>
    <w:rsid w:val="002D5095"/>
    <w:rsid w:val="002D5AF4"/>
    <w:rsid w:val="002D745B"/>
    <w:rsid w:val="002D7C48"/>
    <w:rsid w:val="002E1D30"/>
    <w:rsid w:val="002E5CFC"/>
    <w:rsid w:val="002F48F5"/>
    <w:rsid w:val="002F7C84"/>
    <w:rsid w:val="003021A4"/>
    <w:rsid w:val="00305C47"/>
    <w:rsid w:val="003077B3"/>
    <w:rsid w:val="00314EAD"/>
    <w:rsid w:val="00317F1B"/>
    <w:rsid w:val="00322345"/>
    <w:rsid w:val="0032544F"/>
    <w:rsid w:val="00331593"/>
    <w:rsid w:val="003356B4"/>
    <w:rsid w:val="00335A34"/>
    <w:rsid w:val="00336DD0"/>
    <w:rsid w:val="00347FC8"/>
    <w:rsid w:val="00353F95"/>
    <w:rsid w:val="00354113"/>
    <w:rsid w:val="00360F2C"/>
    <w:rsid w:val="00362914"/>
    <w:rsid w:val="003644D5"/>
    <w:rsid w:val="00366272"/>
    <w:rsid w:val="00366B44"/>
    <w:rsid w:val="00367716"/>
    <w:rsid w:val="00374380"/>
    <w:rsid w:val="00377A59"/>
    <w:rsid w:val="00380DAF"/>
    <w:rsid w:val="00384B05"/>
    <w:rsid w:val="003863DC"/>
    <w:rsid w:val="00386887"/>
    <w:rsid w:val="00391A4C"/>
    <w:rsid w:val="00392B93"/>
    <w:rsid w:val="00394689"/>
    <w:rsid w:val="003A0CF6"/>
    <w:rsid w:val="003A357A"/>
    <w:rsid w:val="003A4EE1"/>
    <w:rsid w:val="003B0E72"/>
    <w:rsid w:val="003C2F42"/>
    <w:rsid w:val="003C4345"/>
    <w:rsid w:val="003C69F4"/>
    <w:rsid w:val="003D20B4"/>
    <w:rsid w:val="003D301C"/>
    <w:rsid w:val="003D48BB"/>
    <w:rsid w:val="003D666F"/>
    <w:rsid w:val="003E0B1E"/>
    <w:rsid w:val="003E3287"/>
    <w:rsid w:val="003F0A1D"/>
    <w:rsid w:val="003F1AA7"/>
    <w:rsid w:val="003F3EF1"/>
    <w:rsid w:val="003F6FBA"/>
    <w:rsid w:val="003F709D"/>
    <w:rsid w:val="00403223"/>
    <w:rsid w:val="00405A4E"/>
    <w:rsid w:val="00405D7E"/>
    <w:rsid w:val="00406171"/>
    <w:rsid w:val="0041053E"/>
    <w:rsid w:val="00414551"/>
    <w:rsid w:val="00416DB3"/>
    <w:rsid w:val="004244B6"/>
    <w:rsid w:val="00442B8A"/>
    <w:rsid w:val="00442BBF"/>
    <w:rsid w:val="00446869"/>
    <w:rsid w:val="00451339"/>
    <w:rsid w:val="004514FA"/>
    <w:rsid w:val="004515A8"/>
    <w:rsid w:val="004540CD"/>
    <w:rsid w:val="00456AA6"/>
    <w:rsid w:val="00456E8B"/>
    <w:rsid w:val="0045729A"/>
    <w:rsid w:val="004665E4"/>
    <w:rsid w:val="004675EB"/>
    <w:rsid w:val="004715DC"/>
    <w:rsid w:val="00473D1F"/>
    <w:rsid w:val="004753FA"/>
    <w:rsid w:val="00475C4F"/>
    <w:rsid w:val="00491553"/>
    <w:rsid w:val="00493D35"/>
    <w:rsid w:val="0049467C"/>
    <w:rsid w:val="00494BB5"/>
    <w:rsid w:val="00496A29"/>
    <w:rsid w:val="004A0ED3"/>
    <w:rsid w:val="004A1F88"/>
    <w:rsid w:val="004A2E08"/>
    <w:rsid w:val="004A3BC9"/>
    <w:rsid w:val="004B0BC6"/>
    <w:rsid w:val="004B4DF4"/>
    <w:rsid w:val="004C094A"/>
    <w:rsid w:val="004C3598"/>
    <w:rsid w:val="004C4BD0"/>
    <w:rsid w:val="004C4E1C"/>
    <w:rsid w:val="004D117D"/>
    <w:rsid w:val="004D6877"/>
    <w:rsid w:val="004D6AAB"/>
    <w:rsid w:val="004E6FE3"/>
    <w:rsid w:val="004E7688"/>
    <w:rsid w:val="004F245D"/>
    <w:rsid w:val="004F49C1"/>
    <w:rsid w:val="004F7BEC"/>
    <w:rsid w:val="005030BD"/>
    <w:rsid w:val="005036B8"/>
    <w:rsid w:val="00504C3A"/>
    <w:rsid w:val="00505813"/>
    <w:rsid w:val="00515173"/>
    <w:rsid w:val="00540931"/>
    <w:rsid w:val="00540E2E"/>
    <w:rsid w:val="00543056"/>
    <w:rsid w:val="00543B46"/>
    <w:rsid w:val="00545B1A"/>
    <w:rsid w:val="00552936"/>
    <w:rsid w:val="0055484E"/>
    <w:rsid w:val="005566FE"/>
    <w:rsid w:val="005570D2"/>
    <w:rsid w:val="0056061C"/>
    <w:rsid w:val="00573261"/>
    <w:rsid w:val="00573D0F"/>
    <w:rsid w:val="005743B1"/>
    <w:rsid w:val="00576089"/>
    <w:rsid w:val="00576531"/>
    <w:rsid w:val="00581C33"/>
    <w:rsid w:val="00586EF0"/>
    <w:rsid w:val="00590C44"/>
    <w:rsid w:val="005A4265"/>
    <w:rsid w:val="005A77D5"/>
    <w:rsid w:val="005A7BC9"/>
    <w:rsid w:val="005B70B0"/>
    <w:rsid w:val="005B73CE"/>
    <w:rsid w:val="005B792B"/>
    <w:rsid w:val="005B7CC5"/>
    <w:rsid w:val="005C1497"/>
    <w:rsid w:val="005C2568"/>
    <w:rsid w:val="005C2BC7"/>
    <w:rsid w:val="005C6E6D"/>
    <w:rsid w:val="005D4FC4"/>
    <w:rsid w:val="005D5C03"/>
    <w:rsid w:val="005E1B3B"/>
    <w:rsid w:val="005E77F4"/>
    <w:rsid w:val="005F08A0"/>
    <w:rsid w:val="005F1A4A"/>
    <w:rsid w:val="005F5CFB"/>
    <w:rsid w:val="005F68D2"/>
    <w:rsid w:val="00602C1A"/>
    <w:rsid w:val="00607182"/>
    <w:rsid w:val="00607541"/>
    <w:rsid w:val="006111C0"/>
    <w:rsid w:val="0061135A"/>
    <w:rsid w:val="006136A8"/>
    <w:rsid w:val="00620383"/>
    <w:rsid w:val="006213D9"/>
    <w:rsid w:val="00621663"/>
    <w:rsid w:val="00624472"/>
    <w:rsid w:val="00626CAA"/>
    <w:rsid w:val="00627EF1"/>
    <w:rsid w:val="00630EE8"/>
    <w:rsid w:val="0063310B"/>
    <w:rsid w:val="00633F60"/>
    <w:rsid w:val="0063572A"/>
    <w:rsid w:val="00637347"/>
    <w:rsid w:val="00640947"/>
    <w:rsid w:val="006414B2"/>
    <w:rsid w:val="00644E65"/>
    <w:rsid w:val="00644EC7"/>
    <w:rsid w:val="00645927"/>
    <w:rsid w:val="006461AC"/>
    <w:rsid w:val="006465B3"/>
    <w:rsid w:val="00652FF3"/>
    <w:rsid w:val="006530A8"/>
    <w:rsid w:val="00654913"/>
    <w:rsid w:val="006572BE"/>
    <w:rsid w:val="0065741B"/>
    <w:rsid w:val="006574A9"/>
    <w:rsid w:val="006577A3"/>
    <w:rsid w:val="00660A98"/>
    <w:rsid w:val="0066320F"/>
    <w:rsid w:val="00672A51"/>
    <w:rsid w:val="00672D46"/>
    <w:rsid w:val="00673E91"/>
    <w:rsid w:val="006830EC"/>
    <w:rsid w:val="00684295"/>
    <w:rsid w:val="006936EB"/>
    <w:rsid w:val="00694CFA"/>
    <w:rsid w:val="0069747C"/>
    <w:rsid w:val="006A21F4"/>
    <w:rsid w:val="006A2242"/>
    <w:rsid w:val="006B0BDB"/>
    <w:rsid w:val="006B5ABA"/>
    <w:rsid w:val="006B6F27"/>
    <w:rsid w:val="006C3FF2"/>
    <w:rsid w:val="006C47BA"/>
    <w:rsid w:val="006C51B3"/>
    <w:rsid w:val="006C6408"/>
    <w:rsid w:val="006C68EA"/>
    <w:rsid w:val="006C7EE0"/>
    <w:rsid w:val="006D49E9"/>
    <w:rsid w:val="006E0F99"/>
    <w:rsid w:val="006E0FAF"/>
    <w:rsid w:val="006E10EC"/>
    <w:rsid w:val="006E21DF"/>
    <w:rsid w:val="006E5712"/>
    <w:rsid w:val="006E6E7F"/>
    <w:rsid w:val="006E7441"/>
    <w:rsid w:val="006F2433"/>
    <w:rsid w:val="006F6C32"/>
    <w:rsid w:val="00705514"/>
    <w:rsid w:val="007112E0"/>
    <w:rsid w:val="00713B40"/>
    <w:rsid w:val="00715B6E"/>
    <w:rsid w:val="007169F3"/>
    <w:rsid w:val="00722A70"/>
    <w:rsid w:val="007241C6"/>
    <w:rsid w:val="00726291"/>
    <w:rsid w:val="007274E8"/>
    <w:rsid w:val="007342AF"/>
    <w:rsid w:val="00736833"/>
    <w:rsid w:val="00737969"/>
    <w:rsid w:val="007406D9"/>
    <w:rsid w:val="00746B19"/>
    <w:rsid w:val="007522F3"/>
    <w:rsid w:val="00753CC2"/>
    <w:rsid w:val="00753CED"/>
    <w:rsid w:val="007552DE"/>
    <w:rsid w:val="007628DA"/>
    <w:rsid w:val="00763F99"/>
    <w:rsid w:val="00767C44"/>
    <w:rsid w:val="00767E0D"/>
    <w:rsid w:val="00771DD0"/>
    <w:rsid w:val="007729B0"/>
    <w:rsid w:val="00772E6F"/>
    <w:rsid w:val="00775D76"/>
    <w:rsid w:val="00781E9A"/>
    <w:rsid w:val="00785CC2"/>
    <w:rsid w:val="00787A65"/>
    <w:rsid w:val="00791C74"/>
    <w:rsid w:val="007925C7"/>
    <w:rsid w:val="007A6269"/>
    <w:rsid w:val="007B1462"/>
    <w:rsid w:val="007B510D"/>
    <w:rsid w:val="007B68C1"/>
    <w:rsid w:val="007C21C5"/>
    <w:rsid w:val="007C317B"/>
    <w:rsid w:val="007C758F"/>
    <w:rsid w:val="007D0CBF"/>
    <w:rsid w:val="007D17DB"/>
    <w:rsid w:val="007D3D05"/>
    <w:rsid w:val="007D6D36"/>
    <w:rsid w:val="007E2431"/>
    <w:rsid w:val="007E2559"/>
    <w:rsid w:val="007E2678"/>
    <w:rsid w:val="007E4379"/>
    <w:rsid w:val="007F1209"/>
    <w:rsid w:val="007F1EEE"/>
    <w:rsid w:val="007F275D"/>
    <w:rsid w:val="007F75F2"/>
    <w:rsid w:val="00800EBC"/>
    <w:rsid w:val="00804B1D"/>
    <w:rsid w:val="00814563"/>
    <w:rsid w:val="0081581C"/>
    <w:rsid w:val="008217B5"/>
    <w:rsid w:val="00824775"/>
    <w:rsid w:val="0083026C"/>
    <w:rsid w:val="00831BF4"/>
    <w:rsid w:val="00832822"/>
    <w:rsid w:val="0083390C"/>
    <w:rsid w:val="00837F29"/>
    <w:rsid w:val="00851839"/>
    <w:rsid w:val="0085219C"/>
    <w:rsid w:val="00852972"/>
    <w:rsid w:val="00853B70"/>
    <w:rsid w:val="008543E3"/>
    <w:rsid w:val="00856C18"/>
    <w:rsid w:val="00861EB8"/>
    <w:rsid w:val="00863A19"/>
    <w:rsid w:val="0086552D"/>
    <w:rsid w:val="008703B3"/>
    <w:rsid w:val="008745FC"/>
    <w:rsid w:val="0088297D"/>
    <w:rsid w:val="00883B91"/>
    <w:rsid w:val="00883E18"/>
    <w:rsid w:val="00891F47"/>
    <w:rsid w:val="00892A10"/>
    <w:rsid w:val="0089457F"/>
    <w:rsid w:val="008978BF"/>
    <w:rsid w:val="00897A4D"/>
    <w:rsid w:val="008A265C"/>
    <w:rsid w:val="008A371C"/>
    <w:rsid w:val="008A40A8"/>
    <w:rsid w:val="008B00D2"/>
    <w:rsid w:val="008B09EB"/>
    <w:rsid w:val="008B2C9D"/>
    <w:rsid w:val="008B3BB2"/>
    <w:rsid w:val="008B4603"/>
    <w:rsid w:val="008C3290"/>
    <w:rsid w:val="008C4239"/>
    <w:rsid w:val="008C7BEC"/>
    <w:rsid w:val="008E0456"/>
    <w:rsid w:val="008E09A1"/>
    <w:rsid w:val="008F0C5F"/>
    <w:rsid w:val="008F1072"/>
    <w:rsid w:val="008F3EEF"/>
    <w:rsid w:val="008F60A2"/>
    <w:rsid w:val="0090374B"/>
    <w:rsid w:val="00904A06"/>
    <w:rsid w:val="00915AD7"/>
    <w:rsid w:val="00915E55"/>
    <w:rsid w:val="00921972"/>
    <w:rsid w:val="00923D14"/>
    <w:rsid w:val="009271FE"/>
    <w:rsid w:val="00930369"/>
    <w:rsid w:val="009361CF"/>
    <w:rsid w:val="00943758"/>
    <w:rsid w:val="00944D93"/>
    <w:rsid w:val="009457BD"/>
    <w:rsid w:val="0094625C"/>
    <w:rsid w:val="00950D9E"/>
    <w:rsid w:val="00951987"/>
    <w:rsid w:val="009556F4"/>
    <w:rsid w:val="00955BDE"/>
    <w:rsid w:val="00957C3D"/>
    <w:rsid w:val="00960ABB"/>
    <w:rsid w:val="00962EBF"/>
    <w:rsid w:val="00964537"/>
    <w:rsid w:val="00967068"/>
    <w:rsid w:val="00972E6B"/>
    <w:rsid w:val="009751CB"/>
    <w:rsid w:val="0098307D"/>
    <w:rsid w:val="00984BC4"/>
    <w:rsid w:val="009929F1"/>
    <w:rsid w:val="00993E5B"/>
    <w:rsid w:val="00997B1C"/>
    <w:rsid w:val="00997ECD"/>
    <w:rsid w:val="009A092C"/>
    <w:rsid w:val="009A0FA7"/>
    <w:rsid w:val="009A2DE2"/>
    <w:rsid w:val="009A599F"/>
    <w:rsid w:val="009A613F"/>
    <w:rsid w:val="009A6670"/>
    <w:rsid w:val="009B248A"/>
    <w:rsid w:val="009B2D0A"/>
    <w:rsid w:val="009B3D62"/>
    <w:rsid w:val="009B5B22"/>
    <w:rsid w:val="009B5D7A"/>
    <w:rsid w:val="009B7BBD"/>
    <w:rsid w:val="009C0F08"/>
    <w:rsid w:val="009C106C"/>
    <w:rsid w:val="009C16C6"/>
    <w:rsid w:val="009C35D8"/>
    <w:rsid w:val="009C66C9"/>
    <w:rsid w:val="009D4481"/>
    <w:rsid w:val="009D5448"/>
    <w:rsid w:val="009D5A3B"/>
    <w:rsid w:val="009D759D"/>
    <w:rsid w:val="009E18F8"/>
    <w:rsid w:val="009E347E"/>
    <w:rsid w:val="009E36E9"/>
    <w:rsid w:val="009E685E"/>
    <w:rsid w:val="009E7258"/>
    <w:rsid w:val="009F132A"/>
    <w:rsid w:val="009F3A77"/>
    <w:rsid w:val="009F5D72"/>
    <w:rsid w:val="009F5DE2"/>
    <w:rsid w:val="00A00FAF"/>
    <w:rsid w:val="00A04B32"/>
    <w:rsid w:val="00A05374"/>
    <w:rsid w:val="00A077C5"/>
    <w:rsid w:val="00A17E5B"/>
    <w:rsid w:val="00A24AF9"/>
    <w:rsid w:val="00A2590C"/>
    <w:rsid w:val="00A315EA"/>
    <w:rsid w:val="00A31B05"/>
    <w:rsid w:val="00A373AA"/>
    <w:rsid w:val="00A42E0A"/>
    <w:rsid w:val="00A440EE"/>
    <w:rsid w:val="00A44CBB"/>
    <w:rsid w:val="00A45917"/>
    <w:rsid w:val="00A51BEF"/>
    <w:rsid w:val="00A52898"/>
    <w:rsid w:val="00A52F46"/>
    <w:rsid w:val="00A533FC"/>
    <w:rsid w:val="00A605DA"/>
    <w:rsid w:val="00A60748"/>
    <w:rsid w:val="00A63F1E"/>
    <w:rsid w:val="00A640DD"/>
    <w:rsid w:val="00A75F4F"/>
    <w:rsid w:val="00A813F2"/>
    <w:rsid w:val="00A8198C"/>
    <w:rsid w:val="00A831CC"/>
    <w:rsid w:val="00A83444"/>
    <w:rsid w:val="00A83C0A"/>
    <w:rsid w:val="00A872FB"/>
    <w:rsid w:val="00A90F29"/>
    <w:rsid w:val="00A94D98"/>
    <w:rsid w:val="00A96ADE"/>
    <w:rsid w:val="00A9779E"/>
    <w:rsid w:val="00AA2478"/>
    <w:rsid w:val="00AA52AB"/>
    <w:rsid w:val="00AA7863"/>
    <w:rsid w:val="00AB4CC4"/>
    <w:rsid w:val="00AB644C"/>
    <w:rsid w:val="00AB67E2"/>
    <w:rsid w:val="00AB786F"/>
    <w:rsid w:val="00AC134A"/>
    <w:rsid w:val="00AC390F"/>
    <w:rsid w:val="00AC4F60"/>
    <w:rsid w:val="00AC53E7"/>
    <w:rsid w:val="00AC7C4D"/>
    <w:rsid w:val="00AD3890"/>
    <w:rsid w:val="00AD6CDB"/>
    <w:rsid w:val="00AD77AE"/>
    <w:rsid w:val="00AE34B9"/>
    <w:rsid w:val="00AE6FDC"/>
    <w:rsid w:val="00AF2387"/>
    <w:rsid w:val="00AF5FEC"/>
    <w:rsid w:val="00AF7DA7"/>
    <w:rsid w:val="00B00F4E"/>
    <w:rsid w:val="00B0255D"/>
    <w:rsid w:val="00B02BAD"/>
    <w:rsid w:val="00B02E4C"/>
    <w:rsid w:val="00B0492F"/>
    <w:rsid w:val="00B0766E"/>
    <w:rsid w:val="00B10EA9"/>
    <w:rsid w:val="00B12080"/>
    <w:rsid w:val="00B16CB9"/>
    <w:rsid w:val="00B20568"/>
    <w:rsid w:val="00B24468"/>
    <w:rsid w:val="00B30DB7"/>
    <w:rsid w:val="00B357F3"/>
    <w:rsid w:val="00B35B9E"/>
    <w:rsid w:val="00B36B42"/>
    <w:rsid w:val="00B37576"/>
    <w:rsid w:val="00B411AD"/>
    <w:rsid w:val="00B42858"/>
    <w:rsid w:val="00B4344A"/>
    <w:rsid w:val="00B43573"/>
    <w:rsid w:val="00B43AFC"/>
    <w:rsid w:val="00B47F06"/>
    <w:rsid w:val="00B52C36"/>
    <w:rsid w:val="00B54F88"/>
    <w:rsid w:val="00B6111C"/>
    <w:rsid w:val="00B61E7C"/>
    <w:rsid w:val="00B63928"/>
    <w:rsid w:val="00B64816"/>
    <w:rsid w:val="00B7002E"/>
    <w:rsid w:val="00B70274"/>
    <w:rsid w:val="00B71CEF"/>
    <w:rsid w:val="00B83E4C"/>
    <w:rsid w:val="00B84C5B"/>
    <w:rsid w:val="00B9075D"/>
    <w:rsid w:val="00B912BC"/>
    <w:rsid w:val="00B9155E"/>
    <w:rsid w:val="00B941FC"/>
    <w:rsid w:val="00B95665"/>
    <w:rsid w:val="00B956D7"/>
    <w:rsid w:val="00B96571"/>
    <w:rsid w:val="00BA06CE"/>
    <w:rsid w:val="00BA7DF8"/>
    <w:rsid w:val="00BB1AF4"/>
    <w:rsid w:val="00BB2B4C"/>
    <w:rsid w:val="00BB3804"/>
    <w:rsid w:val="00BB3FEC"/>
    <w:rsid w:val="00BB5803"/>
    <w:rsid w:val="00BC02C1"/>
    <w:rsid w:val="00BC0B13"/>
    <w:rsid w:val="00BC421A"/>
    <w:rsid w:val="00BC4C62"/>
    <w:rsid w:val="00BD0726"/>
    <w:rsid w:val="00BD4DAE"/>
    <w:rsid w:val="00BD66B0"/>
    <w:rsid w:val="00BD7B17"/>
    <w:rsid w:val="00BE1BEB"/>
    <w:rsid w:val="00BE6C2C"/>
    <w:rsid w:val="00BF00DF"/>
    <w:rsid w:val="00BF3EBF"/>
    <w:rsid w:val="00BF40C9"/>
    <w:rsid w:val="00BF6FD2"/>
    <w:rsid w:val="00C02F70"/>
    <w:rsid w:val="00C035BC"/>
    <w:rsid w:val="00C03B48"/>
    <w:rsid w:val="00C07A3F"/>
    <w:rsid w:val="00C10900"/>
    <w:rsid w:val="00C149C8"/>
    <w:rsid w:val="00C14CFD"/>
    <w:rsid w:val="00C15CF7"/>
    <w:rsid w:val="00C21567"/>
    <w:rsid w:val="00C34F09"/>
    <w:rsid w:val="00C4077D"/>
    <w:rsid w:val="00C45D55"/>
    <w:rsid w:val="00C47AA6"/>
    <w:rsid w:val="00C501F5"/>
    <w:rsid w:val="00C53CB9"/>
    <w:rsid w:val="00C544D1"/>
    <w:rsid w:val="00C55306"/>
    <w:rsid w:val="00C55AD1"/>
    <w:rsid w:val="00C60218"/>
    <w:rsid w:val="00C6287E"/>
    <w:rsid w:val="00C64BB5"/>
    <w:rsid w:val="00C652FD"/>
    <w:rsid w:val="00C6790D"/>
    <w:rsid w:val="00C72473"/>
    <w:rsid w:val="00C72EC3"/>
    <w:rsid w:val="00C73FB9"/>
    <w:rsid w:val="00C7495E"/>
    <w:rsid w:val="00C81878"/>
    <w:rsid w:val="00C8604B"/>
    <w:rsid w:val="00C86E87"/>
    <w:rsid w:val="00C87DCE"/>
    <w:rsid w:val="00C90140"/>
    <w:rsid w:val="00C91D2C"/>
    <w:rsid w:val="00C95243"/>
    <w:rsid w:val="00C96C4F"/>
    <w:rsid w:val="00CA37D7"/>
    <w:rsid w:val="00CB11A2"/>
    <w:rsid w:val="00CB1261"/>
    <w:rsid w:val="00CB20D9"/>
    <w:rsid w:val="00CB26DA"/>
    <w:rsid w:val="00CB33FC"/>
    <w:rsid w:val="00CB61E0"/>
    <w:rsid w:val="00CC31DD"/>
    <w:rsid w:val="00CC4E3D"/>
    <w:rsid w:val="00CC6082"/>
    <w:rsid w:val="00CD3D65"/>
    <w:rsid w:val="00CD4BBC"/>
    <w:rsid w:val="00CD7807"/>
    <w:rsid w:val="00CE2E4D"/>
    <w:rsid w:val="00CE3970"/>
    <w:rsid w:val="00CE40AC"/>
    <w:rsid w:val="00CE58FD"/>
    <w:rsid w:val="00CE7379"/>
    <w:rsid w:val="00CF1F35"/>
    <w:rsid w:val="00CF336B"/>
    <w:rsid w:val="00CF3A85"/>
    <w:rsid w:val="00D069B9"/>
    <w:rsid w:val="00D06C46"/>
    <w:rsid w:val="00D11CFD"/>
    <w:rsid w:val="00D11ECE"/>
    <w:rsid w:val="00D12F29"/>
    <w:rsid w:val="00D1724F"/>
    <w:rsid w:val="00D23D2D"/>
    <w:rsid w:val="00D372ED"/>
    <w:rsid w:val="00D37E29"/>
    <w:rsid w:val="00D41014"/>
    <w:rsid w:val="00D41417"/>
    <w:rsid w:val="00D429FA"/>
    <w:rsid w:val="00D45570"/>
    <w:rsid w:val="00D45B2E"/>
    <w:rsid w:val="00D50ABA"/>
    <w:rsid w:val="00D548DD"/>
    <w:rsid w:val="00D550CC"/>
    <w:rsid w:val="00D55307"/>
    <w:rsid w:val="00D57A2C"/>
    <w:rsid w:val="00D60331"/>
    <w:rsid w:val="00D6249F"/>
    <w:rsid w:val="00D71D9C"/>
    <w:rsid w:val="00D7307F"/>
    <w:rsid w:val="00D760FC"/>
    <w:rsid w:val="00D80C43"/>
    <w:rsid w:val="00D8255B"/>
    <w:rsid w:val="00D83944"/>
    <w:rsid w:val="00D83A2B"/>
    <w:rsid w:val="00D83D2E"/>
    <w:rsid w:val="00D852B8"/>
    <w:rsid w:val="00D91B9F"/>
    <w:rsid w:val="00D92019"/>
    <w:rsid w:val="00D920C1"/>
    <w:rsid w:val="00D92CC7"/>
    <w:rsid w:val="00D955AB"/>
    <w:rsid w:val="00D9638A"/>
    <w:rsid w:val="00D97FB9"/>
    <w:rsid w:val="00DA10DA"/>
    <w:rsid w:val="00DA43B1"/>
    <w:rsid w:val="00DB135B"/>
    <w:rsid w:val="00DB357D"/>
    <w:rsid w:val="00DB59FD"/>
    <w:rsid w:val="00DB71F0"/>
    <w:rsid w:val="00DC5C8F"/>
    <w:rsid w:val="00DC78A4"/>
    <w:rsid w:val="00DD0E88"/>
    <w:rsid w:val="00DD1906"/>
    <w:rsid w:val="00DD2958"/>
    <w:rsid w:val="00DE1762"/>
    <w:rsid w:val="00DE1B8D"/>
    <w:rsid w:val="00DE2638"/>
    <w:rsid w:val="00DE3AE8"/>
    <w:rsid w:val="00DF09C9"/>
    <w:rsid w:val="00DF1E7A"/>
    <w:rsid w:val="00DF3F77"/>
    <w:rsid w:val="00DF7376"/>
    <w:rsid w:val="00E01228"/>
    <w:rsid w:val="00E0168B"/>
    <w:rsid w:val="00E02ADC"/>
    <w:rsid w:val="00E0308C"/>
    <w:rsid w:val="00E04F75"/>
    <w:rsid w:val="00E07E3B"/>
    <w:rsid w:val="00E100F6"/>
    <w:rsid w:val="00E110BB"/>
    <w:rsid w:val="00E148B2"/>
    <w:rsid w:val="00E17943"/>
    <w:rsid w:val="00E17EB2"/>
    <w:rsid w:val="00E22667"/>
    <w:rsid w:val="00E2394A"/>
    <w:rsid w:val="00E26C11"/>
    <w:rsid w:val="00E31CF4"/>
    <w:rsid w:val="00E336DA"/>
    <w:rsid w:val="00E33AF9"/>
    <w:rsid w:val="00E353CE"/>
    <w:rsid w:val="00E3605F"/>
    <w:rsid w:val="00E42291"/>
    <w:rsid w:val="00E42E94"/>
    <w:rsid w:val="00E43B8C"/>
    <w:rsid w:val="00E5002A"/>
    <w:rsid w:val="00E525DF"/>
    <w:rsid w:val="00E54BCC"/>
    <w:rsid w:val="00E559B5"/>
    <w:rsid w:val="00E56D74"/>
    <w:rsid w:val="00E6045F"/>
    <w:rsid w:val="00E6092E"/>
    <w:rsid w:val="00E72C0B"/>
    <w:rsid w:val="00E73597"/>
    <w:rsid w:val="00E753C7"/>
    <w:rsid w:val="00E7685E"/>
    <w:rsid w:val="00E84041"/>
    <w:rsid w:val="00E852F7"/>
    <w:rsid w:val="00E90811"/>
    <w:rsid w:val="00E964B9"/>
    <w:rsid w:val="00EA0254"/>
    <w:rsid w:val="00EA0BF8"/>
    <w:rsid w:val="00EA6729"/>
    <w:rsid w:val="00EB115D"/>
    <w:rsid w:val="00EB146A"/>
    <w:rsid w:val="00EB46FF"/>
    <w:rsid w:val="00EC14EE"/>
    <w:rsid w:val="00EC21BD"/>
    <w:rsid w:val="00ED0273"/>
    <w:rsid w:val="00ED178A"/>
    <w:rsid w:val="00ED2D04"/>
    <w:rsid w:val="00ED2F65"/>
    <w:rsid w:val="00ED34E1"/>
    <w:rsid w:val="00ED374E"/>
    <w:rsid w:val="00EE162A"/>
    <w:rsid w:val="00EE37EB"/>
    <w:rsid w:val="00EE5893"/>
    <w:rsid w:val="00EF2E7F"/>
    <w:rsid w:val="00F01856"/>
    <w:rsid w:val="00F02CA6"/>
    <w:rsid w:val="00F05814"/>
    <w:rsid w:val="00F061C8"/>
    <w:rsid w:val="00F115A4"/>
    <w:rsid w:val="00F133DE"/>
    <w:rsid w:val="00F13572"/>
    <w:rsid w:val="00F14702"/>
    <w:rsid w:val="00F14A9F"/>
    <w:rsid w:val="00F21C27"/>
    <w:rsid w:val="00F22B8F"/>
    <w:rsid w:val="00F23CC5"/>
    <w:rsid w:val="00F243BD"/>
    <w:rsid w:val="00F26446"/>
    <w:rsid w:val="00F278B9"/>
    <w:rsid w:val="00F3261B"/>
    <w:rsid w:val="00F349B3"/>
    <w:rsid w:val="00F35DCE"/>
    <w:rsid w:val="00F36238"/>
    <w:rsid w:val="00F41290"/>
    <w:rsid w:val="00F46352"/>
    <w:rsid w:val="00F519FD"/>
    <w:rsid w:val="00F56691"/>
    <w:rsid w:val="00F6746A"/>
    <w:rsid w:val="00F70BA3"/>
    <w:rsid w:val="00F72498"/>
    <w:rsid w:val="00F733E0"/>
    <w:rsid w:val="00F75098"/>
    <w:rsid w:val="00F76EC5"/>
    <w:rsid w:val="00F77F11"/>
    <w:rsid w:val="00F83CA7"/>
    <w:rsid w:val="00F84220"/>
    <w:rsid w:val="00F904BF"/>
    <w:rsid w:val="00F92513"/>
    <w:rsid w:val="00F92CBE"/>
    <w:rsid w:val="00F947A7"/>
    <w:rsid w:val="00F956DD"/>
    <w:rsid w:val="00F9585A"/>
    <w:rsid w:val="00F960FA"/>
    <w:rsid w:val="00F96524"/>
    <w:rsid w:val="00FA40C4"/>
    <w:rsid w:val="00FA4E76"/>
    <w:rsid w:val="00FB054C"/>
    <w:rsid w:val="00FB211D"/>
    <w:rsid w:val="00FB2D78"/>
    <w:rsid w:val="00FB3789"/>
    <w:rsid w:val="00FC4849"/>
    <w:rsid w:val="00FC5A8F"/>
    <w:rsid w:val="00FC5FF1"/>
    <w:rsid w:val="00FC76CE"/>
    <w:rsid w:val="00FC775A"/>
    <w:rsid w:val="00FD2C45"/>
    <w:rsid w:val="00FD38FB"/>
    <w:rsid w:val="00FD44B0"/>
    <w:rsid w:val="00FD4DEF"/>
    <w:rsid w:val="00FE29FD"/>
    <w:rsid w:val="00FE4832"/>
    <w:rsid w:val="00FF1F97"/>
    <w:rsid w:val="00FF20AD"/>
    <w:rsid w:val="00FF3203"/>
    <w:rsid w:val="00FF6099"/>
    <w:rsid w:val="20CF5ABA"/>
    <w:rsid w:val="7770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10" w:after="10" w:line="360" w:lineRule="auto"/>
      <w:ind w:left="432"/>
      <w:outlineLvl w:val="0"/>
    </w:pPr>
    <w:rPr>
      <w:rFonts w:ascii="Calibri" w:hAnsi="Calibri" w:eastAsia="仿宋" w:cs="黑体"/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9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34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annotation text"/>
    <w:basedOn w:val="1"/>
    <w:link w:val="32"/>
    <w:semiHidden/>
    <w:unhideWhenUsed/>
    <w:qFormat/>
    <w:uiPriority w:val="99"/>
    <w:pPr>
      <w:jc w:val="left"/>
    </w:pPr>
  </w:style>
  <w:style w:type="paragraph" w:styleId="7">
    <w:name w:val="Body Text"/>
    <w:basedOn w:val="1"/>
    <w:next w:val="1"/>
    <w:link w:val="30"/>
    <w:unhideWhenUsed/>
    <w:qFormat/>
    <w:uiPriority w:val="99"/>
    <w:rPr>
      <w:rFonts w:ascii="Calibri" w:hAnsi="Calibri" w:eastAsia="宋体" w:cs="Times New Roman"/>
      <w:szCs w:val="24"/>
    </w:rPr>
  </w:style>
  <w:style w:type="paragraph" w:styleId="8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annotation subject"/>
    <w:basedOn w:val="6"/>
    <w:next w:val="6"/>
    <w:link w:val="33"/>
    <w:semiHidden/>
    <w:unhideWhenUsed/>
    <w:qFormat/>
    <w:uiPriority w:val="99"/>
    <w:rPr>
      <w:b/>
      <w:bCs/>
    </w:rPr>
  </w:style>
  <w:style w:type="character" w:styleId="16">
    <w:name w:val="FollowedHyperlink"/>
    <w:basedOn w:val="15"/>
    <w:semiHidden/>
    <w:unhideWhenUsed/>
    <w:qFormat/>
    <w:uiPriority w:val="99"/>
    <w:rPr>
      <w:color w:val="954F72"/>
      <w:u w:val="single"/>
    </w:rPr>
  </w:style>
  <w:style w:type="character" w:styleId="17">
    <w:name w:val="Hyperlink"/>
    <w:basedOn w:val="15"/>
    <w:unhideWhenUsed/>
    <w:qFormat/>
    <w:uiPriority w:val="99"/>
    <w:rPr>
      <w:color w:val="0563C1" w:themeColor="hyperlink"/>
      <w:u w:val="single"/>
    </w:rPr>
  </w:style>
  <w:style w:type="character" w:styleId="18">
    <w:name w:val="annotation reference"/>
    <w:basedOn w:val="15"/>
    <w:semiHidden/>
    <w:unhideWhenUsed/>
    <w:qFormat/>
    <w:uiPriority w:val="99"/>
    <w:rPr>
      <w:sz w:val="21"/>
      <w:szCs w:val="21"/>
    </w:rPr>
  </w:style>
  <w:style w:type="character" w:customStyle="1" w:styleId="19">
    <w:name w:val="标题 1 字符"/>
    <w:basedOn w:val="15"/>
    <w:link w:val="2"/>
    <w:qFormat/>
    <w:uiPriority w:val="9"/>
    <w:rPr>
      <w:rFonts w:ascii="Calibri" w:hAnsi="Calibri" w:eastAsia="仿宋" w:cs="黑体"/>
      <w:b/>
      <w:bCs/>
      <w:kern w:val="44"/>
      <w:sz w:val="30"/>
      <w:szCs w:val="44"/>
    </w:rPr>
  </w:style>
  <w:style w:type="character" w:customStyle="1" w:styleId="20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22">
    <w:name w:val="页脚 字符"/>
    <w:basedOn w:val="15"/>
    <w:link w:val="9"/>
    <w:qFormat/>
    <w:uiPriority w:val="99"/>
    <w:rPr>
      <w:sz w:val="18"/>
      <w:szCs w:val="18"/>
    </w:rPr>
  </w:style>
  <w:style w:type="paragraph" w:customStyle="1" w:styleId="23">
    <w:name w:val="列表段落1"/>
    <w:basedOn w:val="1"/>
    <w:link w:val="24"/>
    <w:qFormat/>
    <w:uiPriority w:val="34"/>
    <w:pPr>
      <w:ind w:firstLine="420" w:firstLineChars="200"/>
    </w:pPr>
    <w:rPr>
      <w:rFonts w:ascii="Times New Roman" w:hAnsi="Times New Roman" w:eastAsia="仿宋" w:cs="Times New Roman"/>
      <w:kern w:val="0"/>
      <w:sz w:val="32"/>
      <w:szCs w:val="20"/>
    </w:rPr>
  </w:style>
  <w:style w:type="character" w:customStyle="1" w:styleId="24">
    <w:name w:val="列表段落 字符"/>
    <w:link w:val="23"/>
    <w:qFormat/>
    <w:uiPriority w:val="34"/>
    <w:rPr>
      <w:rFonts w:ascii="Times New Roman" w:hAnsi="Times New Roman" w:eastAsia="仿宋" w:cs="Times New Roman"/>
      <w:kern w:val="0"/>
      <w:sz w:val="32"/>
      <w:szCs w:val="20"/>
    </w:rPr>
  </w:style>
  <w:style w:type="paragraph" w:customStyle="1" w:styleId="25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ind w:left="0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26">
    <w:name w:val="批注框文本 字符"/>
    <w:basedOn w:val="15"/>
    <w:link w:val="8"/>
    <w:semiHidden/>
    <w:qFormat/>
    <w:uiPriority w:val="99"/>
    <w:rPr>
      <w:sz w:val="18"/>
      <w:szCs w:val="18"/>
    </w:rPr>
  </w:style>
  <w:style w:type="paragraph" w:customStyle="1" w:styleId="2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28">
    <w:name w:val="NormalCharacter"/>
    <w:qFormat/>
    <w:uiPriority w:val="0"/>
  </w:style>
  <w:style w:type="character" w:customStyle="1" w:styleId="29">
    <w:name w:val="标题 3 字符"/>
    <w:basedOn w:val="15"/>
    <w:link w:val="4"/>
    <w:semiHidden/>
    <w:qFormat/>
    <w:uiPriority w:val="9"/>
    <w:rPr>
      <w:b/>
      <w:bCs/>
      <w:sz w:val="32"/>
      <w:szCs w:val="32"/>
    </w:rPr>
  </w:style>
  <w:style w:type="character" w:customStyle="1" w:styleId="30">
    <w:name w:val="正文文本 字符"/>
    <w:basedOn w:val="15"/>
    <w:link w:val="7"/>
    <w:qFormat/>
    <w:uiPriority w:val="99"/>
    <w:rPr>
      <w:rFonts w:ascii="Calibri" w:hAnsi="Calibri" w:eastAsia="宋体" w:cs="Times New Roman"/>
      <w:szCs w:val="24"/>
    </w:rPr>
  </w:style>
  <w:style w:type="paragraph" w:customStyle="1" w:styleId="31">
    <w:name w:val="Char Char Char1 Char"/>
    <w:basedOn w:val="2"/>
    <w:qFormat/>
    <w:uiPriority w:val="0"/>
    <w:pPr>
      <w:snapToGrid w:val="0"/>
      <w:spacing w:before="240" w:after="240" w:line="348" w:lineRule="auto"/>
      <w:ind w:left="0"/>
    </w:pPr>
    <w:rPr>
      <w:rFonts w:eastAsia="宋体" w:cs="Times New Roman"/>
      <w:sz w:val="44"/>
    </w:rPr>
  </w:style>
  <w:style w:type="character" w:customStyle="1" w:styleId="32">
    <w:name w:val="批注文字 字符"/>
    <w:basedOn w:val="15"/>
    <w:link w:val="6"/>
    <w:semiHidden/>
    <w:qFormat/>
    <w:uiPriority w:val="99"/>
  </w:style>
  <w:style w:type="character" w:customStyle="1" w:styleId="33">
    <w:name w:val="批注主题 字符"/>
    <w:basedOn w:val="32"/>
    <w:link w:val="13"/>
    <w:semiHidden/>
    <w:qFormat/>
    <w:uiPriority w:val="99"/>
    <w:rPr>
      <w:b/>
      <w:bCs/>
    </w:rPr>
  </w:style>
  <w:style w:type="character" w:customStyle="1" w:styleId="34">
    <w:name w:val="文档结构图 字符"/>
    <w:basedOn w:val="15"/>
    <w:link w:val="5"/>
    <w:semiHidden/>
    <w:qFormat/>
    <w:uiPriority w:val="99"/>
    <w:rPr>
      <w:rFonts w:ascii="宋体" w:eastAsia="宋体"/>
      <w:sz w:val="18"/>
      <w:szCs w:val="18"/>
    </w:rPr>
  </w:style>
  <w:style w:type="paragraph" w:customStyle="1" w:styleId="35">
    <w:name w:val="msonormal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36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等线" w:hAnsi="等线" w:eastAsia="等线" w:cs="宋体"/>
      <w:kern w:val="0"/>
      <w:sz w:val="18"/>
      <w:szCs w:val="18"/>
    </w:rPr>
  </w:style>
  <w:style w:type="paragraph" w:customStyle="1" w:styleId="37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18"/>
      <w:szCs w:val="18"/>
    </w:rPr>
  </w:style>
  <w:style w:type="paragraph" w:customStyle="1" w:styleId="38">
    <w:name w:val="xl64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eastAsia="宋体" w:cs="Arial"/>
      <w:kern w:val="0"/>
      <w:sz w:val="20"/>
      <w:szCs w:val="20"/>
    </w:rPr>
  </w:style>
  <w:style w:type="paragraph" w:customStyle="1" w:styleId="39">
    <w:name w:val="xl6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eastAsia="宋体" w:cs="Arial"/>
      <w:kern w:val="0"/>
      <w:sz w:val="20"/>
      <w:szCs w:val="20"/>
    </w:rPr>
  </w:style>
  <w:style w:type="paragraph" w:customStyle="1" w:styleId="40">
    <w:name w:val="xl66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eastAsia="宋体" w:cs="Arial"/>
      <w:kern w:val="0"/>
      <w:sz w:val="20"/>
      <w:szCs w:val="20"/>
    </w:rPr>
  </w:style>
  <w:style w:type="paragraph" w:customStyle="1" w:styleId="41">
    <w:name w:val="xl6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eastAsia="宋体" w:cs="Arial"/>
      <w:kern w:val="0"/>
      <w:sz w:val="20"/>
      <w:szCs w:val="20"/>
    </w:rPr>
  </w:style>
  <w:style w:type="paragraph" w:customStyle="1" w:styleId="42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仿宋_GB2312" w:hAnsi="宋体" w:eastAsia="仿宋_GB2312" w:cs="宋体"/>
      <w:kern w:val="0"/>
      <w:sz w:val="24"/>
      <w:szCs w:val="24"/>
    </w:rPr>
  </w:style>
  <w:style w:type="paragraph" w:customStyle="1" w:styleId="43">
    <w:name w:val="xl69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kern w:val="0"/>
      <w:sz w:val="24"/>
      <w:szCs w:val="24"/>
    </w:rPr>
  </w:style>
  <w:style w:type="paragraph" w:customStyle="1" w:styleId="44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kern w:val="0"/>
      <w:sz w:val="24"/>
      <w:szCs w:val="24"/>
    </w:rPr>
  </w:style>
  <w:style w:type="paragraph" w:customStyle="1" w:styleId="45">
    <w:name w:val="xl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kern w:val="0"/>
      <w:sz w:val="24"/>
      <w:szCs w:val="24"/>
    </w:rPr>
  </w:style>
  <w:style w:type="paragraph" w:customStyle="1" w:styleId="46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kern w:val="0"/>
      <w:sz w:val="24"/>
      <w:szCs w:val="24"/>
    </w:rPr>
  </w:style>
  <w:style w:type="paragraph" w:customStyle="1" w:styleId="47">
    <w:name w:val="xl73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仿宋_GB2312" w:hAnsi="宋体" w:eastAsia="仿宋_GB2312" w:cs="宋体"/>
      <w:kern w:val="0"/>
      <w:sz w:val="36"/>
      <w:szCs w:val="36"/>
    </w:rPr>
  </w:style>
  <w:style w:type="paragraph" w:customStyle="1" w:styleId="48">
    <w:name w:val="xl74"/>
    <w:basedOn w:val="1"/>
    <w:qFormat/>
    <w:uiPriority w:val="0"/>
    <w:pPr>
      <w:widowControl/>
      <w:pBdr>
        <w:bottom w:val="single" w:color="auto" w:sz="4" w:space="0"/>
      </w:pBdr>
      <w:spacing w:before="100" w:beforeAutospacing="1" w:after="100" w:afterAutospacing="1"/>
      <w:jc w:val="center"/>
    </w:pPr>
    <w:rPr>
      <w:rFonts w:ascii="仿宋_GB2312" w:hAnsi="宋体" w:eastAsia="仿宋_GB2312" w:cs="宋体"/>
      <w:kern w:val="0"/>
      <w:sz w:val="36"/>
      <w:szCs w:val="36"/>
    </w:rPr>
  </w:style>
  <w:style w:type="paragraph" w:customStyle="1" w:styleId="49">
    <w:name w:val="xl75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Times New Roman" w:hAnsi="Times New Roman" w:eastAsia="宋体" w:cs="Times New Roman"/>
      <w:kern w:val="0"/>
      <w:sz w:val="24"/>
      <w:szCs w:val="24"/>
    </w:rPr>
  </w:style>
  <w:style w:type="paragraph" w:customStyle="1" w:styleId="50">
    <w:name w:val="xl76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仿宋_GB2312" w:hAnsi="宋体" w:eastAsia="仿宋_GB2312" w:cs="宋体"/>
      <w:kern w:val="0"/>
      <w:sz w:val="24"/>
      <w:szCs w:val="24"/>
    </w:rPr>
  </w:style>
  <w:style w:type="paragraph" w:customStyle="1" w:styleId="51">
    <w:name w:val="xl7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仿宋_GB2312" w:hAnsi="宋体" w:eastAsia="仿宋_GB2312" w:cs="宋体"/>
      <w:kern w:val="0"/>
      <w:sz w:val="24"/>
      <w:szCs w:val="24"/>
    </w:rPr>
  </w:style>
  <w:style w:type="paragraph" w:customStyle="1" w:styleId="52">
    <w:name w:val="xl78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仿宋_GB2312" w:hAnsi="宋体" w:eastAsia="仿宋_GB2312" w:cs="宋体"/>
      <w:kern w:val="0"/>
      <w:sz w:val="24"/>
      <w:szCs w:val="24"/>
    </w:rPr>
  </w:style>
  <w:style w:type="paragraph" w:customStyle="1" w:styleId="53">
    <w:name w:val="xl79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仿宋_GB2312" w:hAnsi="宋体" w:eastAsia="仿宋_GB2312" w:cs="宋体"/>
      <w:kern w:val="0"/>
      <w:sz w:val="24"/>
      <w:szCs w:val="24"/>
    </w:rPr>
  </w:style>
  <w:style w:type="paragraph" w:customStyle="1" w:styleId="54">
    <w:name w:val="xl8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仿宋_GB2312" w:hAnsi="宋体" w:eastAsia="仿宋_GB2312" w:cs="宋体"/>
      <w:kern w:val="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FE2B3E-087F-4653-ADCC-FC1ED6205D1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412</Words>
  <Characters>2351</Characters>
  <Lines>19</Lines>
  <Paragraphs>5</Paragraphs>
  <TotalTime>17</TotalTime>
  <ScaleCrop>false</ScaleCrop>
  <LinksUpToDate>false</LinksUpToDate>
  <CharactersWithSpaces>2758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2021-08-01T13:04:00Z</dcterms:created>
  <dc:creator>微软用户</dc:creator>
  <cp:lastModifiedBy>1</cp:lastModifiedBy>
  <dcterms:modified xsi:type="dcterms:W3CDTF">2021-08-02T02:41:29Z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916C2DBB405A4373A9311EA45F14079E</vt:lpwstr>
  </property>
</Properties>
</file>