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黑体"/>
          <w:kern w:val="44"/>
          <w:sz w:val="32"/>
          <w:szCs w:val="32"/>
        </w:rPr>
      </w:pPr>
      <w:bookmarkStart w:id="0" w:name="_Hlk75614401"/>
      <w:r>
        <w:rPr>
          <w:rFonts w:hint="eastAsia" w:ascii="Times New Roman" w:hAnsi="Times New Roman" w:eastAsia="黑体" w:cs="黑体"/>
          <w:kern w:val="44"/>
          <w:sz w:val="32"/>
          <w:szCs w:val="32"/>
        </w:rPr>
        <w:t>南昌县象湖新城片区土地征收成片开发方案</w:t>
      </w:r>
    </w:p>
    <w:p>
      <w:pPr>
        <w:jc w:val="center"/>
        <w:rPr>
          <w:rFonts w:ascii="Times New Roman" w:hAnsi="Times New Roman" w:eastAsia="黑体" w:cs="黑体"/>
          <w:kern w:val="44"/>
          <w:sz w:val="32"/>
          <w:szCs w:val="32"/>
        </w:rPr>
      </w:pPr>
      <w:r>
        <w:rPr>
          <w:rFonts w:hint="eastAsia" w:ascii="Times New Roman" w:hAnsi="Times New Roman" w:eastAsia="黑体" w:cs="黑体"/>
          <w:kern w:val="44"/>
          <w:sz w:val="32"/>
          <w:szCs w:val="32"/>
        </w:rPr>
        <w:t>（草案</w:t>
      </w:r>
      <w:r>
        <w:rPr>
          <w:rFonts w:ascii="Times New Roman" w:hAnsi="Times New Roman" w:eastAsia="黑体" w:cs="黑体"/>
          <w:kern w:val="44"/>
          <w:sz w:val="32"/>
          <w:szCs w:val="32"/>
        </w:rPr>
        <w:t>）</w:t>
      </w:r>
      <w:bookmarkEnd w:id="0"/>
    </w:p>
    <w:p>
      <w:pPr>
        <w:jc w:val="center"/>
        <w:rPr>
          <w:rFonts w:ascii="Times New Roman" w:hAnsi="Times New Roman" w:eastAsia="黑体" w:cs="黑体"/>
          <w:kern w:val="44"/>
          <w:sz w:val="32"/>
          <w:szCs w:val="32"/>
        </w:rPr>
      </w:pPr>
    </w:p>
    <w:p>
      <w:pPr>
        <w:autoSpaceDE w:val="0"/>
        <w:autoSpaceDN w:val="0"/>
        <w:adjustRightInd w:val="0"/>
        <w:ind w:firstLine="560" w:firstLineChars="200"/>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根据新《土地管理法》、</w:t>
      </w:r>
      <w:r>
        <w:rPr>
          <w:rFonts w:hint="eastAsia" w:ascii="Times New Roman" w:hAnsi="Times New Roman" w:eastAsia="仿宋_GB2312" w:cs="Times New Roman"/>
          <w:sz w:val="28"/>
          <w:szCs w:val="28"/>
        </w:rPr>
        <w:t>《自然资源部关于印发&lt;土地征收成片开发标准（试行）&gt;的通知》（自然资规〔2020〕5号）</w:t>
      </w:r>
      <w:r>
        <w:rPr>
          <w:rFonts w:hint="eastAsia" w:ascii="Times New Roman" w:hAnsi="Times New Roman" w:eastAsia="仿宋_GB2312" w:cs="仿宋_GB2312"/>
          <w:kern w:val="0"/>
          <w:sz w:val="28"/>
          <w:szCs w:val="28"/>
        </w:rPr>
        <w:t>以及《江西省人民政府办公厅关于执行土地征收成片开发标准</w:t>
      </w:r>
      <w:r>
        <w:rPr>
          <w:rFonts w:ascii="Times New Roman" w:hAnsi="Times New Roman" w:eastAsia="仿宋_GB2312" w:cs="仿宋_GB2312"/>
          <w:kern w:val="0"/>
          <w:sz w:val="28"/>
          <w:szCs w:val="28"/>
        </w:rPr>
        <w:t>(试行)的指导意见</w:t>
      </w:r>
      <w:r>
        <w:rPr>
          <w:rFonts w:hint="eastAsia" w:ascii="Times New Roman" w:hAnsi="Times New Roman" w:eastAsia="仿宋_GB2312" w:cs="仿宋_GB2312"/>
          <w:kern w:val="0"/>
          <w:sz w:val="28"/>
          <w:szCs w:val="28"/>
        </w:rPr>
        <w:t>》（赣府厅发〔</w:t>
      </w:r>
      <w:r>
        <w:rPr>
          <w:rFonts w:ascii="Times New Roman" w:hAnsi="Times New Roman" w:eastAsia="仿宋_GB2312" w:cs="仿宋_GB2312"/>
          <w:kern w:val="0"/>
          <w:sz w:val="28"/>
          <w:szCs w:val="28"/>
        </w:rPr>
        <w:t>2021〕2号）相关规定和要求，</w:t>
      </w:r>
      <w:r>
        <w:rPr>
          <w:rFonts w:hint="eastAsia" w:ascii="Times New Roman" w:hAnsi="Times New Roman" w:eastAsia="仿宋_GB2312" w:cs="仿宋_GB2312"/>
          <w:kern w:val="0"/>
          <w:sz w:val="28"/>
          <w:szCs w:val="28"/>
        </w:rPr>
        <w:t>南昌县人民政府组织编制了《南昌县象湖新城片区土地征收成片开发方案（</w:t>
      </w:r>
      <w:r>
        <w:rPr>
          <w:rFonts w:ascii="Times New Roman" w:hAnsi="Times New Roman" w:eastAsia="仿宋_GB2312" w:cs="仿宋_GB2312"/>
          <w:kern w:val="0"/>
          <w:sz w:val="28"/>
          <w:szCs w:val="28"/>
        </w:rPr>
        <w:t>2021-2022年）</w:t>
      </w:r>
      <w:r>
        <w:rPr>
          <w:rFonts w:hint="eastAsia" w:ascii="Times New Roman" w:hAnsi="Times New Roman" w:eastAsia="仿宋_GB2312" w:cs="仿宋_GB2312"/>
          <w:kern w:val="0"/>
          <w:sz w:val="28"/>
          <w:szCs w:val="28"/>
        </w:rPr>
        <w:t>》。</w:t>
      </w:r>
    </w:p>
    <w:p>
      <w:pPr>
        <w:pStyle w:val="2"/>
        <w:spacing w:line="240" w:lineRule="auto"/>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一、编制依据</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仿宋_GB2312"/>
          <w:kern w:val="0"/>
          <w:sz w:val="28"/>
          <w:szCs w:val="28"/>
          <w:lang w:val="en-US" w:eastAsia="zh-CN"/>
        </w:rPr>
        <w:t>1、</w:t>
      </w:r>
      <w:r>
        <w:rPr>
          <w:rFonts w:hint="eastAsia" w:ascii="Times New Roman" w:hAnsi="Times New Roman" w:eastAsia="仿宋_GB2312" w:cs="仿宋_GB2312"/>
          <w:kern w:val="0"/>
          <w:sz w:val="28"/>
          <w:szCs w:val="28"/>
        </w:rPr>
        <w:t>根据</w:t>
      </w:r>
      <w:r>
        <w:rPr>
          <w:rFonts w:hint="eastAsia" w:ascii="Times New Roman" w:hAnsi="Times New Roman" w:eastAsia="仿宋_GB2312" w:cs="Times New Roman"/>
          <w:sz w:val="28"/>
          <w:szCs w:val="28"/>
        </w:rPr>
        <w:t>《自然资源部关于印发&lt;土地征收成片开发标准（试行）&gt;的通知》（自然资规〔2020〕5号）</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Times New Roman" w:hAnsi="Times New Roman" w:eastAsia="仿宋_GB2312" w:cs="仿宋_GB2312"/>
          <w:kern w:val="0"/>
          <w:sz w:val="28"/>
          <w:szCs w:val="28"/>
          <w:lang w:eastAsia="zh-CN"/>
        </w:rPr>
      </w:pP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仿宋_GB2312"/>
          <w:kern w:val="0"/>
          <w:sz w:val="28"/>
          <w:szCs w:val="28"/>
        </w:rPr>
        <w:t>《江西省人民政府办公厅关于执行土地征收成片开发标准</w:t>
      </w:r>
      <w:r>
        <w:rPr>
          <w:rFonts w:ascii="Times New Roman" w:hAnsi="Times New Roman" w:eastAsia="仿宋_GB2312" w:cs="仿宋_GB2312"/>
          <w:kern w:val="0"/>
          <w:sz w:val="28"/>
          <w:szCs w:val="28"/>
        </w:rPr>
        <w:t>(试行)的指导意见</w:t>
      </w:r>
      <w:r>
        <w:rPr>
          <w:rFonts w:hint="eastAsia" w:ascii="Times New Roman" w:hAnsi="Times New Roman" w:eastAsia="仿宋_GB2312" w:cs="仿宋_GB2312"/>
          <w:kern w:val="0"/>
          <w:sz w:val="28"/>
          <w:szCs w:val="28"/>
        </w:rPr>
        <w:t>》（赣府厅发〔</w:t>
      </w:r>
      <w:r>
        <w:rPr>
          <w:rFonts w:ascii="Times New Roman" w:hAnsi="Times New Roman" w:eastAsia="仿宋_GB2312" w:cs="仿宋_GB2312"/>
          <w:kern w:val="0"/>
          <w:sz w:val="28"/>
          <w:szCs w:val="28"/>
        </w:rPr>
        <w:t>2021〕2号）</w:t>
      </w:r>
      <w:r>
        <w:rPr>
          <w:rFonts w:hint="eastAsia" w:ascii="Times New Roman" w:hAnsi="Times New Roman" w:eastAsia="仿宋_GB2312" w:cs="仿宋_GB2312"/>
          <w:kern w:val="0"/>
          <w:sz w:val="28"/>
          <w:szCs w:val="28"/>
          <w:lang w:eastAsia="zh-CN"/>
        </w:rPr>
        <w:t>；</w:t>
      </w:r>
    </w:p>
    <w:p>
      <w:pPr>
        <w:autoSpaceDE w:val="0"/>
        <w:autoSpaceDN w:val="0"/>
        <w:adjustRightInd w:val="0"/>
        <w:ind w:firstLine="560" w:firstLineChars="200"/>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3、</w:t>
      </w:r>
      <w:r>
        <w:rPr>
          <w:rFonts w:hint="eastAsia" w:ascii="Times New Roman" w:hAnsi="Times New Roman" w:eastAsia="仿宋_GB2312" w:cs="仿宋_GB2312"/>
          <w:sz w:val="28"/>
          <w:szCs w:val="28"/>
        </w:rPr>
        <w:t>《江西省自然资源厅办公室关于印发土地征收成片开发方案审批指南（试行）的通知》（赣自然资办发〔</w:t>
      </w:r>
      <w:r>
        <w:rPr>
          <w:rFonts w:ascii="Times New Roman" w:hAnsi="Times New Roman" w:eastAsia="仿宋_GB2312" w:cs="仿宋_GB2312"/>
          <w:sz w:val="28"/>
          <w:szCs w:val="28"/>
        </w:rPr>
        <w:t>2021</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30</w:t>
      </w:r>
      <w:r>
        <w:rPr>
          <w:rFonts w:hint="eastAsia" w:ascii="Times New Roman" w:hAnsi="Times New Roman" w:eastAsia="仿宋_GB2312" w:cs="仿宋_GB2312"/>
          <w:sz w:val="28"/>
          <w:szCs w:val="28"/>
        </w:rPr>
        <w:t>号）</w:t>
      </w:r>
      <w:r>
        <w:rPr>
          <w:rFonts w:hint="eastAsia" w:ascii="Times New Roman" w:hAnsi="Times New Roman" w:eastAsia="仿宋_GB2312" w:cs="仿宋_GB2312"/>
          <w:sz w:val="28"/>
          <w:szCs w:val="28"/>
          <w:lang w:eastAsia="zh-CN"/>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rPr>
        <w:t>《南昌市自然资源局关于印发土地征收成片开发方案审查办理指南（试行）的通知》（洪自然资办字〔</w:t>
      </w:r>
      <w:r>
        <w:rPr>
          <w:rFonts w:ascii="Times New Roman" w:hAnsi="Times New Roman" w:eastAsia="仿宋_GB2312" w:cs="Times New Roman"/>
          <w:sz w:val="28"/>
          <w:szCs w:val="28"/>
        </w:rPr>
        <w:t>2021〕98号）</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5、</w:t>
      </w:r>
      <w:r>
        <w:rPr>
          <w:rFonts w:hint="eastAsia" w:ascii="仿宋_GB2312" w:hAnsi="Times New Roman" w:eastAsia="仿宋_GB2312"/>
          <w:color w:val="000000" w:themeColor="text1"/>
          <w:sz w:val="28"/>
          <w:szCs w:val="28"/>
          <w14:textFill>
            <w14:solidFill>
              <w14:schemeClr w14:val="tx1"/>
            </w14:solidFill>
          </w14:textFill>
        </w:rPr>
        <w:t>《</w:t>
      </w:r>
      <w:bookmarkStart w:id="1" w:name="_Hlk75867041"/>
      <w:r>
        <w:rPr>
          <w:rFonts w:hint="eastAsia" w:ascii="仿宋_GB2312" w:hAnsi="Times New Roman" w:eastAsia="仿宋_GB2312"/>
          <w:color w:val="000000" w:themeColor="text1"/>
          <w:sz w:val="28"/>
          <w:szCs w:val="28"/>
          <w14:textFill>
            <w14:solidFill>
              <w14:schemeClr w14:val="tx1"/>
            </w14:solidFill>
          </w14:textFill>
        </w:rPr>
        <w:t>南昌县（小蓝经开区）国民经济和社会发展第十四个五年规划和二</w:t>
      </w:r>
      <w:r>
        <w:rPr>
          <w:rFonts w:hint="eastAsia" w:ascii="微软雅黑" w:hAnsi="微软雅黑" w:eastAsia="微软雅黑" w:cs="微软雅黑"/>
          <w:color w:val="000000" w:themeColor="text1"/>
          <w:sz w:val="28"/>
          <w:szCs w:val="28"/>
          <w14:textFill>
            <w14:solidFill>
              <w14:schemeClr w14:val="tx1"/>
            </w14:solidFill>
          </w14:textFill>
        </w:rPr>
        <w:t>〇</w:t>
      </w:r>
      <w:r>
        <w:rPr>
          <w:rFonts w:hint="eastAsia" w:ascii="仿宋_GB2312" w:hAnsi="仿宋_GB2312" w:eastAsia="仿宋_GB2312" w:cs="仿宋_GB2312"/>
          <w:color w:val="000000" w:themeColor="text1"/>
          <w:sz w:val="28"/>
          <w:szCs w:val="28"/>
          <w14:textFill>
            <w14:solidFill>
              <w14:schemeClr w14:val="tx1"/>
            </w14:solidFill>
          </w14:textFill>
        </w:rPr>
        <w:t>三五年远景目标纲要</w:t>
      </w:r>
      <w:bookmarkEnd w:id="1"/>
      <w:r>
        <w:rPr>
          <w:rFonts w:hint="eastAsia"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lang w:eastAsia="zh-CN"/>
          <w14:textFill>
            <w14:solidFill>
              <w14:schemeClr w14:val="tx1"/>
            </w14:solidFill>
          </w14:textFill>
        </w:rPr>
        <w:t>；</w:t>
      </w:r>
    </w:p>
    <w:p>
      <w:pPr>
        <w:autoSpaceDE w:val="0"/>
        <w:autoSpaceDN w:val="0"/>
        <w:adjustRightInd w:val="0"/>
        <w:ind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14:textFill>
            <w14:solidFill>
              <w14:schemeClr w14:val="tx1"/>
            </w14:solidFill>
          </w14:textFill>
        </w:rPr>
        <w:t>《南昌县</w:t>
      </w:r>
      <w:r>
        <w:rPr>
          <w:rFonts w:ascii="仿宋_GB2312" w:hAnsi="仿宋_GB2312" w:eastAsia="仿宋_GB2312" w:cs="仿宋_GB2312"/>
          <w:color w:val="000000" w:themeColor="text1"/>
          <w:sz w:val="28"/>
          <w:szCs w:val="28"/>
          <w14:textFill>
            <w14:solidFill>
              <w14:schemeClr w14:val="tx1"/>
            </w14:solidFill>
          </w14:textFill>
        </w:rPr>
        <w:t>2020年国民经济和社会发展计划执行情况及2021年国民经济和社会发展计划</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7、</w:t>
      </w:r>
      <w:r>
        <w:rPr>
          <w:rFonts w:hint="eastAsia" w:ascii="Times New Roman" w:hAnsi="Times New Roman" w:eastAsia="仿宋_GB2312" w:cs="Times New Roman"/>
          <w:sz w:val="28"/>
          <w:szCs w:val="28"/>
        </w:rPr>
        <w:t>《南昌县土地利用总体规划（</w:t>
      </w:r>
      <w:r>
        <w:rPr>
          <w:rFonts w:ascii="Times New Roman" w:hAnsi="Times New Roman" w:eastAsia="仿宋_GB2312" w:cs="Times New Roman"/>
          <w:sz w:val="28"/>
          <w:szCs w:val="28"/>
        </w:rPr>
        <w:t>2006-2020年）</w:t>
      </w:r>
      <w:r>
        <w:rPr>
          <w:rFonts w:hint="eastAsia" w:ascii="Times New Roman" w:hAnsi="Times New Roman" w:eastAsia="仿宋_GB2312" w:cs="Times New Roman"/>
          <w:sz w:val="28"/>
          <w:szCs w:val="28"/>
        </w:rPr>
        <w:t>延续方案》</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仿宋_GB2312" w:hAnsi="Times New Roman" w:eastAsia="仿宋_GB2312" w:cs="Times New Roman"/>
          <w:color w:val="000000" w:themeColor="text1"/>
          <w:sz w:val="28"/>
          <w:szCs w:val="28"/>
          <w:lang w:eastAsia="zh-CN"/>
          <w14:textFill>
            <w14:solidFill>
              <w14:schemeClr w14:val="tx1"/>
            </w14:solidFill>
          </w14:textFill>
        </w:rPr>
      </w:pP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8、</w:t>
      </w:r>
      <w:r>
        <w:rPr>
          <w:rFonts w:hint="eastAsia" w:ascii="仿宋_GB2312" w:hAnsi="Times New Roman" w:eastAsia="仿宋_GB2312" w:cs="Times New Roman"/>
          <w:color w:val="000000" w:themeColor="text1"/>
          <w:sz w:val="28"/>
          <w:szCs w:val="28"/>
          <w14:textFill>
            <w14:solidFill>
              <w14:schemeClr w14:val="tx1"/>
            </w14:solidFill>
          </w14:textFill>
        </w:rPr>
        <w:t>《南昌县城市总体规划（2011-2030）》</w:t>
      </w:r>
      <w:r>
        <w:rPr>
          <w:rFonts w:hint="eastAsia" w:ascii="仿宋_GB2312" w:hAnsi="Times New Roman" w:eastAsia="仿宋_GB2312" w:cs="Times New Roman"/>
          <w:color w:val="000000" w:themeColor="text1"/>
          <w:sz w:val="28"/>
          <w:szCs w:val="28"/>
          <w:lang w:eastAsia="zh-CN"/>
          <w14:textFill>
            <w14:solidFill>
              <w14:schemeClr w14:val="tx1"/>
            </w14:solidFill>
          </w14:textFill>
        </w:rPr>
        <w:t>；</w:t>
      </w:r>
    </w:p>
    <w:p>
      <w:pPr>
        <w:autoSpaceDE w:val="0"/>
        <w:autoSpaceDN w:val="0"/>
        <w:adjustRightInd w:val="0"/>
        <w:ind w:firstLine="560" w:firstLineChars="200"/>
        <w:rPr>
          <w:rFonts w:hint="eastAsia" w:ascii="Times New Roman" w:hAnsi="Times New Roman" w:eastAsia="仿宋_GB2312" w:cs="仿宋_GB2312"/>
          <w:kern w:val="0"/>
          <w:sz w:val="28"/>
          <w:szCs w:val="28"/>
          <w:lang w:eastAsia="zh-CN"/>
        </w:rPr>
      </w:pPr>
      <w:r>
        <w:rPr>
          <w:rFonts w:hint="eastAsia" w:ascii="Times New Roman" w:hAnsi="Times New Roman" w:eastAsia="仿宋_GB2312" w:cs="Times New Roman"/>
          <w:sz w:val="28"/>
          <w:szCs w:val="28"/>
          <w:lang w:val="en-US" w:eastAsia="zh-CN"/>
        </w:rPr>
        <w:t>9、</w:t>
      </w:r>
      <w:bookmarkStart w:id="15" w:name="_GoBack"/>
      <w:bookmarkEnd w:id="15"/>
      <w:r>
        <w:rPr>
          <w:rFonts w:hint="eastAsia" w:ascii="Times New Roman" w:hAnsi="Times New Roman" w:eastAsia="仿宋_GB2312" w:cs="Times New Roman"/>
          <w:sz w:val="28"/>
          <w:szCs w:val="28"/>
        </w:rPr>
        <w:t>《南昌县象湖新城控制性详细规划（调整）</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w:t>
      </w:r>
    </w:p>
    <w:p>
      <w:pPr>
        <w:pStyle w:val="2"/>
        <w:spacing w:line="240" w:lineRule="auto"/>
        <w:ind w:left="0" w:firstLine="640" w:firstLineChars="200"/>
        <w:rPr>
          <w:rFonts w:ascii="Times New Roman" w:hAnsi="Times New Roman" w:eastAsia="黑体"/>
          <w:b w:val="0"/>
          <w:bCs w:val="0"/>
          <w:sz w:val="32"/>
          <w:szCs w:val="32"/>
        </w:rPr>
      </w:pPr>
      <w:bookmarkStart w:id="2" w:name="_Toc69736442"/>
      <w:r>
        <w:rPr>
          <w:rFonts w:hint="eastAsia" w:ascii="Times New Roman" w:hAnsi="Times New Roman" w:eastAsia="黑体"/>
          <w:b w:val="0"/>
          <w:bCs w:val="0"/>
          <w:sz w:val="32"/>
          <w:szCs w:val="32"/>
        </w:rPr>
        <w:t>二、基本情况</w:t>
      </w:r>
      <w:bookmarkEnd w:id="2"/>
    </w:p>
    <w:p>
      <w:pPr>
        <w:spacing w:line="360" w:lineRule="auto"/>
        <w:ind w:firstLine="64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本成片开发方案编制范围位于南昌县东新乡，汇仁大道以北，昌南大道以南，沿江大道以东，东祥路以西。总面积</w:t>
      </w:r>
      <w:r>
        <w:rPr>
          <w:rFonts w:ascii="Times New Roman" w:hAnsi="Times New Roman" w:eastAsia="仿宋_GB2312"/>
          <w:color w:val="000000" w:themeColor="text1"/>
          <w:sz w:val="28"/>
          <w:szCs w:val="28"/>
          <w14:textFill>
            <w14:solidFill>
              <w14:schemeClr w14:val="tx1"/>
            </w14:solidFill>
          </w14:textFill>
        </w:rPr>
        <w:t>116.69公顷</w:t>
      </w:r>
      <w:r>
        <w:rPr>
          <w:rFonts w:hint="eastAsia" w:ascii="Times New Roman" w:hAnsi="Times New Roman" w:eastAsia="仿宋_GB2312"/>
          <w:color w:val="000000" w:themeColor="text1"/>
          <w:sz w:val="28"/>
          <w:szCs w:val="28"/>
          <w14:textFill>
            <w14:solidFill>
              <w14:schemeClr w14:val="tx1"/>
            </w14:solidFill>
          </w14:textFill>
        </w:rPr>
        <w:t>，拟征收面积为</w:t>
      </w:r>
      <w:r>
        <w:rPr>
          <w:rFonts w:ascii="Times New Roman" w:hAnsi="Times New Roman" w:eastAsia="仿宋_GB2312"/>
          <w:color w:val="000000" w:themeColor="text1"/>
          <w:sz w:val="28"/>
          <w:szCs w:val="28"/>
          <w14:textFill>
            <w14:solidFill>
              <w14:schemeClr w14:val="tx1"/>
            </w14:solidFill>
          </w14:textFill>
        </w:rPr>
        <w:t>41.26公顷</w:t>
      </w:r>
      <w:r>
        <w:rPr>
          <w:rFonts w:hint="eastAsia" w:ascii="Times New Roman" w:hAnsi="Times New Roman" w:eastAsia="仿宋_GB2312" w:cs="Times New Roman"/>
          <w:sz w:val="28"/>
          <w:szCs w:val="28"/>
        </w:rPr>
        <w:t>，涉及</w:t>
      </w:r>
      <w:bookmarkStart w:id="3" w:name="_Hlk78116565"/>
      <w:r>
        <w:rPr>
          <w:rFonts w:hint="eastAsia" w:ascii="Times New Roman" w:hAnsi="Times New Roman" w:eastAsia="仿宋_GB2312" w:cs="仿宋_GB2312"/>
          <w:color w:val="000000" w:themeColor="text1"/>
          <w:sz w:val="28"/>
          <w:szCs w:val="28"/>
          <w14:textFill>
            <w14:solidFill>
              <w14:schemeClr w14:val="tx1"/>
            </w14:solidFill>
          </w14:textFill>
        </w:rPr>
        <w:t>东新乡大洲村农民集体、东新乡大洲村草洲组、东新乡大洲村龙开组、东新乡东岳村、东新乡东岳村八房组、东新乡东岳村二房组、东新乡东岳村楼下组、东新乡东岳村沙坝组、东新乡东岳村西头组、东新乡河下村李家组、东新乡利用村大房组、东新乡利用村南坊组、东新乡利用村姚家组</w:t>
      </w:r>
      <w:bookmarkEnd w:id="3"/>
      <w:r>
        <w:rPr>
          <w:rFonts w:hint="eastAsia" w:ascii="Times New Roman" w:hAnsi="Times New Roman" w:eastAsia="仿宋_GB2312" w:cs="仿宋_GB2312"/>
          <w:color w:val="000000" w:themeColor="text1"/>
          <w:sz w:val="28"/>
          <w:szCs w:val="28"/>
          <w14:textFill>
            <w14:solidFill>
              <w14:schemeClr w14:val="tx1"/>
            </w14:solidFill>
          </w14:textFill>
        </w:rPr>
        <w:t>。</w:t>
      </w:r>
    </w:p>
    <w:p>
      <w:pPr>
        <w:pStyle w:val="2"/>
        <w:spacing w:line="240" w:lineRule="auto"/>
        <w:ind w:left="0" w:firstLine="640" w:firstLineChars="200"/>
        <w:rPr>
          <w:rFonts w:ascii="Times New Roman" w:hAnsi="Times New Roman" w:eastAsia="黑体"/>
          <w:b w:val="0"/>
          <w:bCs w:val="0"/>
          <w:sz w:val="32"/>
          <w:szCs w:val="32"/>
        </w:rPr>
      </w:pPr>
      <w:bookmarkStart w:id="4" w:name="_Toc69736450"/>
      <w:r>
        <w:rPr>
          <w:rFonts w:hint="eastAsia" w:ascii="Times New Roman" w:hAnsi="Times New Roman" w:eastAsia="黑体"/>
          <w:b w:val="0"/>
          <w:bCs w:val="0"/>
          <w:sz w:val="32"/>
          <w:szCs w:val="32"/>
        </w:rPr>
        <w:t>三、必要性</w:t>
      </w:r>
      <w:bookmarkEnd w:id="4"/>
    </w:p>
    <w:p>
      <w:pPr>
        <w:spacing w:line="360" w:lineRule="auto"/>
        <w:ind w:firstLine="640"/>
        <w:rPr>
          <w:rFonts w:ascii="Times New Roman" w:hAnsi="Times New Roman" w:eastAsia="仿宋_GB2312" w:cs="仿宋_GB2312"/>
          <w:kern w:val="0"/>
          <w:sz w:val="28"/>
          <w:szCs w:val="28"/>
        </w:rPr>
      </w:pPr>
      <w:r>
        <w:rPr>
          <w:rFonts w:hint="eastAsia" w:ascii="Times New Roman" w:hAnsi="Times New Roman" w:eastAsia="仿宋_GB2312"/>
          <w:sz w:val="28"/>
          <w:szCs w:val="28"/>
        </w:rPr>
        <w:t>象湖新城</w:t>
      </w:r>
      <w:r>
        <w:rPr>
          <w:rFonts w:hint="eastAsia" w:ascii="Times New Roman" w:hAnsi="Times New Roman" w:eastAsia="仿宋_GB2312" w:cs="仿宋_GB2312"/>
          <w:color w:val="000000" w:themeColor="text1"/>
          <w:kern w:val="0"/>
          <w:sz w:val="28"/>
          <w:szCs w:val="28"/>
          <w14:textFill>
            <w14:solidFill>
              <w14:schemeClr w14:val="tx1"/>
            </w14:solidFill>
          </w14:textFill>
        </w:rPr>
        <w:t>独特的区域位置将使其具有承担小蓝工业园区的生活配套及承接南昌市的人口疏散的功能。</w:t>
      </w:r>
      <w:r>
        <w:rPr>
          <w:rFonts w:hint="eastAsia" w:ascii="Times New Roman" w:hAnsi="Times New Roman" w:eastAsia="仿宋_GB2312" w:cs="仿宋_GB2312"/>
          <w:kern w:val="0"/>
          <w:sz w:val="28"/>
          <w:szCs w:val="28"/>
        </w:rPr>
        <w:t>科学编制土地征收成片开发方案，</w:t>
      </w:r>
      <w:r>
        <w:rPr>
          <w:rFonts w:hint="eastAsia" w:ascii="Times New Roman" w:hAnsi="Times New Roman" w:eastAsia="仿宋_GB2312"/>
          <w:sz w:val="28"/>
          <w:szCs w:val="28"/>
        </w:rPr>
        <w:t>有利于实现区域土地综合开发、高效利用；有利于保障重点项目落地，推动城镇建设；</w:t>
      </w:r>
      <w:r>
        <w:rPr>
          <w:rFonts w:hint="eastAsia" w:ascii="Times New Roman" w:hAnsi="Times New Roman" w:eastAsia="仿宋_GB2312" w:cs="仿宋_GB2312"/>
          <w:kern w:val="0"/>
          <w:sz w:val="28"/>
          <w:szCs w:val="28"/>
        </w:rPr>
        <w:t>有利于促进象湖新城片区</w:t>
      </w:r>
      <w:r>
        <w:rPr>
          <w:rFonts w:hint="eastAsia" w:ascii="Times New Roman" w:hAnsi="Times New Roman" w:eastAsia="仿宋_GB2312" w:cs="仿宋_GB2312"/>
          <w:color w:val="000000" w:themeColor="text1"/>
          <w:kern w:val="0"/>
          <w:sz w:val="28"/>
          <w:szCs w:val="28"/>
          <w14:textFill>
            <w14:solidFill>
              <w14:schemeClr w14:val="tx1"/>
            </w14:solidFill>
          </w14:textFill>
        </w:rPr>
        <w:t>建设成为是</w:t>
      </w:r>
      <w:bookmarkStart w:id="5" w:name="_Hlk77510888"/>
      <w:r>
        <w:rPr>
          <w:rFonts w:ascii="Times New Roman" w:hAnsi="Times New Roman" w:eastAsia="仿宋_GB2312"/>
          <w:color w:val="000000" w:themeColor="text1"/>
          <w:sz w:val="28"/>
          <w:szCs w:val="28"/>
          <w14:textFill>
            <w14:solidFill>
              <w14:schemeClr w14:val="tx1"/>
            </w14:solidFill>
          </w14:textFill>
        </w:rPr>
        <w:t>以居住和商贸办公服务为主，集文化体育、休闲娱乐等多功能为一体的综合新城</w:t>
      </w:r>
      <w:bookmarkEnd w:id="5"/>
      <w:r>
        <w:rPr>
          <w:rFonts w:hint="eastAsia" w:ascii="Times New Roman" w:hAnsi="Times New Roman" w:eastAsia="仿宋_GB2312"/>
          <w:color w:val="000000" w:themeColor="text1"/>
          <w:sz w:val="28"/>
          <w:szCs w:val="28"/>
          <w14:textFill>
            <w14:solidFill>
              <w14:schemeClr w14:val="tx1"/>
            </w14:solidFill>
          </w14:textFill>
        </w:rPr>
        <w:t>。</w:t>
      </w:r>
    </w:p>
    <w:p>
      <w:pPr>
        <w:spacing w:line="360" w:lineRule="auto"/>
        <w:ind w:firstLine="640"/>
        <w:rPr>
          <w:rFonts w:ascii="Times New Roman" w:hAnsi="Times New Roman" w:eastAsia="黑体"/>
          <w:sz w:val="32"/>
          <w:szCs w:val="32"/>
        </w:rPr>
      </w:pPr>
      <w:bookmarkStart w:id="6" w:name="_Toc69736453"/>
      <w:r>
        <w:rPr>
          <w:rFonts w:hint="eastAsia" w:ascii="Times New Roman" w:hAnsi="Times New Roman" w:eastAsia="黑体"/>
          <w:sz w:val="32"/>
          <w:szCs w:val="32"/>
        </w:rPr>
        <w:t>四、合规性</w:t>
      </w:r>
      <w:bookmarkEnd w:id="6"/>
    </w:p>
    <w:p>
      <w:pPr>
        <w:spacing w:line="360" w:lineRule="auto"/>
        <w:ind w:firstLine="640"/>
        <w:rPr>
          <w:rFonts w:ascii="Times New Roman" w:hAnsi="Times New Roman" w:eastAsia="仿宋_GB2312"/>
          <w:sz w:val="28"/>
          <w:szCs w:val="28"/>
        </w:rPr>
      </w:pPr>
      <w:bookmarkStart w:id="7" w:name="_Toc69736454"/>
      <w:r>
        <w:rPr>
          <w:rFonts w:hint="eastAsia" w:ascii="Times New Roman" w:hAnsi="Times New Roman" w:eastAsia="仿宋_GB2312"/>
          <w:sz w:val="28"/>
          <w:szCs w:val="28"/>
        </w:rPr>
        <w:t>本成片开发方案符合</w:t>
      </w:r>
      <w:bookmarkEnd w:id="7"/>
      <w:r>
        <w:rPr>
          <w:rFonts w:hint="eastAsia" w:ascii="仿宋_GB2312" w:hAnsi="Times New Roman" w:eastAsia="仿宋_GB2312"/>
          <w:color w:val="000000" w:themeColor="text1"/>
          <w:sz w:val="28"/>
          <w:szCs w:val="28"/>
          <w14:textFill>
            <w14:solidFill>
              <w14:schemeClr w14:val="tx1"/>
            </w14:solidFill>
          </w14:textFill>
        </w:rPr>
        <w:t>《南昌县（小蓝经开区）国民经济和社会发展第十四个五年规划和二</w:t>
      </w:r>
      <w:r>
        <w:rPr>
          <w:rFonts w:hint="eastAsia" w:ascii="微软雅黑" w:hAnsi="微软雅黑" w:eastAsia="微软雅黑" w:cs="微软雅黑"/>
          <w:color w:val="000000" w:themeColor="text1"/>
          <w:sz w:val="28"/>
          <w:szCs w:val="28"/>
          <w14:textFill>
            <w14:solidFill>
              <w14:schemeClr w14:val="tx1"/>
            </w14:solidFill>
          </w14:textFill>
        </w:rPr>
        <w:t>〇</w:t>
      </w:r>
      <w:r>
        <w:rPr>
          <w:rFonts w:hint="eastAsia" w:ascii="仿宋_GB2312" w:hAnsi="仿宋_GB2312" w:eastAsia="仿宋_GB2312" w:cs="仿宋_GB2312"/>
          <w:color w:val="000000" w:themeColor="text1"/>
          <w:sz w:val="28"/>
          <w:szCs w:val="28"/>
          <w14:textFill>
            <w14:solidFill>
              <w14:schemeClr w14:val="tx1"/>
            </w14:solidFill>
          </w14:textFill>
        </w:rPr>
        <w:t>三五年远景目标纲要</w:t>
      </w:r>
      <w:r>
        <w:rPr>
          <w:rFonts w:hint="eastAsia" w:ascii="仿宋_GB2312" w:hAnsi="Times New Roman" w:eastAsia="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《南昌县</w:t>
      </w:r>
      <w:r>
        <w:rPr>
          <w:rFonts w:ascii="仿宋_GB2312" w:hAnsi="仿宋_GB2312" w:eastAsia="仿宋_GB2312" w:cs="仿宋_GB2312"/>
          <w:color w:val="000000" w:themeColor="text1"/>
          <w:sz w:val="28"/>
          <w:szCs w:val="28"/>
          <w14:textFill>
            <w14:solidFill>
              <w14:schemeClr w14:val="tx1"/>
            </w14:solidFill>
          </w14:textFill>
        </w:rPr>
        <w:t>2020年国民经济和社会发展计划执行情况及2021年国民经济和社会发展计划</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Times New Roman" w:hAnsi="Times New Roman" w:eastAsia="仿宋_GB2312"/>
          <w:sz w:val="28"/>
          <w:szCs w:val="28"/>
        </w:rPr>
        <w:t>，成片开发范围位于土地利用总体规划的允许建设区，位于南昌县总体规划规划区范围内，不涉及占用永久基本农田保护红线、生态保护红线，</w:t>
      </w:r>
      <w:r>
        <w:rPr>
          <w:rFonts w:hint="eastAsia" w:ascii="Times New Roman" w:hAnsi="Times New Roman" w:eastAsia="仿宋_GB2312" w:cs="仿宋_GB2312"/>
          <w:kern w:val="0"/>
          <w:sz w:val="28"/>
          <w:szCs w:val="28"/>
        </w:rPr>
        <w:t>不涉及占用自然保护地、一级保护林地、历史文化街区名镇名村等特定区域，不涉及土壤污染、疑似污染地块，成片开发范围内地质灾害为不易发，不涉及占用</w:t>
      </w:r>
      <w:r>
        <w:rPr>
          <w:rFonts w:ascii="Times New Roman" w:hAnsi="Times New Roman" w:eastAsia="仿宋_GB2312"/>
          <w:sz w:val="28"/>
        </w:rPr>
        <w:t>采矿探矿权范围</w:t>
      </w:r>
      <w:r>
        <w:rPr>
          <w:rFonts w:hint="eastAsia" w:ascii="Times New Roman" w:hAnsi="Times New Roman" w:eastAsia="仿宋_GB2312"/>
          <w:sz w:val="28"/>
        </w:rPr>
        <w:t>。</w:t>
      </w:r>
    </w:p>
    <w:p>
      <w:pPr>
        <w:pStyle w:val="2"/>
        <w:spacing w:line="240" w:lineRule="auto"/>
        <w:ind w:left="0" w:firstLine="640" w:firstLineChars="200"/>
        <w:rPr>
          <w:rFonts w:ascii="Times New Roman" w:hAnsi="Times New Roman" w:eastAsia="黑体"/>
          <w:b w:val="0"/>
          <w:bCs w:val="0"/>
          <w:sz w:val="32"/>
          <w:szCs w:val="32"/>
        </w:rPr>
      </w:pPr>
      <w:bookmarkStart w:id="8" w:name="_Toc69736458"/>
      <w:r>
        <w:rPr>
          <w:rFonts w:hint="eastAsia" w:ascii="Times New Roman" w:hAnsi="Times New Roman" w:eastAsia="黑体"/>
          <w:b w:val="0"/>
          <w:bCs w:val="0"/>
          <w:sz w:val="32"/>
          <w:szCs w:val="32"/>
        </w:rPr>
        <w:t>五、主要用途和实现功能</w:t>
      </w:r>
      <w:bookmarkEnd w:id="8"/>
    </w:p>
    <w:p>
      <w:pPr>
        <w:spacing w:line="360" w:lineRule="auto"/>
        <w:ind w:firstLine="560" w:firstLineChars="20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本</w:t>
      </w:r>
      <w:bookmarkStart w:id="9" w:name="_Hlk77446171"/>
      <w:r>
        <w:rPr>
          <w:rFonts w:hint="eastAsia" w:ascii="Times New Roman" w:hAnsi="Times New Roman" w:eastAsia="仿宋_GB2312"/>
          <w:color w:val="000000" w:themeColor="text1"/>
          <w:sz w:val="28"/>
          <w14:textFill>
            <w14:solidFill>
              <w14:schemeClr w14:val="tx1"/>
            </w14:solidFill>
          </w14:textFill>
        </w:rPr>
        <w:t>成片开发方案用地</w:t>
      </w:r>
      <w:bookmarkEnd w:id="9"/>
      <w:r>
        <w:rPr>
          <w:rFonts w:hint="eastAsia" w:ascii="Times New Roman" w:hAnsi="Times New Roman" w:eastAsia="仿宋_GB2312"/>
          <w:color w:val="000000" w:themeColor="text1"/>
          <w:sz w:val="28"/>
          <w14:textFill>
            <w14:solidFill>
              <w14:schemeClr w14:val="tx1"/>
            </w14:solidFill>
          </w14:textFill>
        </w:rPr>
        <w:t>总面积</w:t>
      </w:r>
      <w:r>
        <w:rPr>
          <w:rFonts w:ascii="Times New Roman" w:hAnsi="Times New Roman" w:eastAsia="仿宋_GB2312"/>
          <w:color w:val="000000" w:themeColor="text1"/>
          <w:sz w:val="28"/>
          <w14:textFill>
            <w14:solidFill>
              <w14:schemeClr w14:val="tx1"/>
            </w14:solidFill>
          </w14:textFill>
        </w:rPr>
        <w:t>116.69</w:t>
      </w:r>
      <w:r>
        <w:rPr>
          <w:rFonts w:hint="eastAsia" w:ascii="Times New Roman" w:hAnsi="Times New Roman" w:eastAsia="仿宋_GB2312"/>
          <w:color w:val="000000" w:themeColor="text1"/>
          <w:sz w:val="28"/>
          <w14:textFill>
            <w14:solidFill>
              <w14:schemeClr w14:val="tx1"/>
            </w14:solidFill>
          </w14:textFill>
        </w:rPr>
        <w:t>公顷，规划用途为居住用地</w:t>
      </w:r>
      <w:r>
        <w:rPr>
          <w:rFonts w:ascii="Times New Roman" w:hAnsi="Times New Roman" w:eastAsia="仿宋_GB2312"/>
          <w:color w:val="000000" w:themeColor="text1"/>
          <w:sz w:val="28"/>
          <w14:textFill>
            <w14:solidFill>
              <w14:schemeClr w14:val="tx1"/>
            </w14:solidFill>
          </w14:textFill>
        </w:rPr>
        <w:t>31.58公顷，占比为27.06%</w:t>
      </w:r>
      <w:r>
        <w:rPr>
          <w:rFonts w:hint="eastAsia" w:ascii="Times New Roman" w:hAnsi="Times New Roman" w:eastAsia="仿宋_GB2312"/>
          <w:color w:val="000000" w:themeColor="text1"/>
          <w:sz w:val="28"/>
          <w14:textFill>
            <w14:solidFill>
              <w14:schemeClr w14:val="tx1"/>
            </w14:solidFill>
          </w14:textFill>
        </w:rPr>
        <w:t>；商业服务业设施用地</w:t>
      </w:r>
      <w:r>
        <w:rPr>
          <w:rFonts w:ascii="Times New Roman" w:hAnsi="Times New Roman" w:eastAsia="仿宋_GB2312"/>
          <w:color w:val="000000" w:themeColor="text1"/>
          <w:sz w:val="28"/>
          <w14:textFill>
            <w14:solidFill>
              <w14:schemeClr w14:val="tx1"/>
            </w14:solidFill>
          </w14:textFill>
        </w:rPr>
        <w:t>11.23公顷，占比为9.62%；</w:t>
      </w:r>
      <w:r>
        <w:rPr>
          <w:rFonts w:hint="eastAsia" w:ascii="Times New Roman" w:hAnsi="Times New Roman" w:eastAsia="仿宋_GB2312"/>
          <w:color w:val="000000" w:themeColor="text1"/>
          <w:sz w:val="28"/>
          <w14:textFill>
            <w14:solidFill>
              <w14:schemeClr w14:val="tx1"/>
            </w14:solidFill>
          </w14:textFill>
        </w:rPr>
        <w:t>公共管理与公共服务用地</w:t>
      </w:r>
      <w:r>
        <w:rPr>
          <w:rFonts w:ascii="Times New Roman" w:hAnsi="Times New Roman" w:eastAsia="仿宋_GB2312"/>
          <w:color w:val="000000" w:themeColor="text1"/>
          <w:sz w:val="28"/>
          <w14:textFill>
            <w14:solidFill>
              <w14:schemeClr w14:val="tx1"/>
            </w14:solidFill>
          </w14:textFill>
        </w:rPr>
        <w:t>29.73公顷，占比为25.48%</w:t>
      </w:r>
      <w:r>
        <w:rPr>
          <w:rFonts w:hint="eastAsia" w:ascii="Times New Roman" w:hAnsi="Times New Roman" w:eastAsia="仿宋_GB2312"/>
          <w:color w:val="000000" w:themeColor="text1"/>
          <w:sz w:val="28"/>
          <w14:textFill>
            <w14:solidFill>
              <w14:schemeClr w14:val="tx1"/>
            </w14:solidFill>
          </w14:textFill>
        </w:rPr>
        <w:t>；物流仓储用地</w:t>
      </w:r>
      <w:r>
        <w:rPr>
          <w:rFonts w:ascii="Times New Roman" w:hAnsi="Times New Roman" w:eastAsia="仿宋_GB2312"/>
          <w:color w:val="000000" w:themeColor="text1"/>
          <w:sz w:val="28"/>
          <w14:textFill>
            <w14:solidFill>
              <w14:schemeClr w14:val="tx1"/>
            </w14:solidFill>
          </w14:textFill>
        </w:rPr>
        <w:t>1.35公顷，占比为1.16%</w:t>
      </w:r>
      <w:r>
        <w:rPr>
          <w:rFonts w:hint="eastAsia" w:ascii="Times New Roman" w:hAnsi="Times New Roman" w:eastAsia="仿宋_GB2312"/>
          <w:color w:val="000000" w:themeColor="text1"/>
          <w:sz w:val="28"/>
          <w14:textFill>
            <w14:solidFill>
              <w14:schemeClr w14:val="tx1"/>
            </w14:solidFill>
          </w14:textFill>
        </w:rPr>
        <w:t>；道路与交通设施用地</w:t>
      </w:r>
      <w:r>
        <w:rPr>
          <w:rFonts w:ascii="Times New Roman" w:hAnsi="Times New Roman" w:eastAsia="仿宋_GB2312"/>
          <w:color w:val="000000" w:themeColor="text1"/>
          <w:sz w:val="28"/>
          <w14:textFill>
            <w14:solidFill>
              <w14:schemeClr w14:val="tx1"/>
            </w14:solidFill>
          </w14:textFill>
        </w:rPr>
        <w:t>33.39公顷，占比为28.62%</w:t>
      </w:r>
      <w:r>
        <w:rPr>
          <w:rFonts w:hint="eastAsia" w:ascii="Times New Roman" w:hAnsi="Times New Roman" w:eastAsia="仿宋_GB2312"/>
          <w:color w:val="000000" w:themeColor="text1"/>
          <w:sz w:val="28"/>
          <w14:textFill>
            <w14:solidFill>
              <w14:schemeClr w14:val="tx1"/>
            </w14:solidFill>
          </w14:textFill>
        </w:rPr>
        <w:t>；绿地与广场用地</w:t>
      </w:r>
      <w:r>
        <w:rPr>
          <w:rFonts w:ascii="Times New Roman" w:hAnsi="Times New Roman" w:eastAsia="仿宋_GB2312"/>
          <w:color w:val="000000" w:themeColor="text1"/>
          <w:sz w:val="28"/>
          <w14:textFill>
            <w14:solidFill>
              <w14:schemeClr w14:val="tx1"/>
            </w14:solidFill>
          </w14:textFill>
        </w:rPr>
        <w:t>8.26公顷，占比为7.08%</w:t>
      </w:r>
      <w:r>
        <w:rPr>
          <w:rFonts w:hint="eastAsia" w:ascii="Times New Roman" w:hAnsi="Times New Roman" w:eastAsia="仿宋_GB2312"/>
          <w:color w:val="000000" w:themeColor="text1"/>
          <w:sz w:val="28"/>
          <w14:textFill>
            <w14:solidFill>
              <w14:schemeClr w14:val="tx1"/>
            </w14:solidFill>
          </w14:textFill>
        </w:rPr>
        <w:t>；水</w:t>
      </w:r>
      <w:bookmarkStart w:id="10" w:name="_Hlk78706595"/>
      <w:r>
        <w:rPr>
          <w:rFonts w:hint="eastAsia" w:ascii="Times New Roman" w:hAnsi="Times New Roman" w:eastAsia="仿宋_GB2312"/>
          <w:color w:val="000000" w:themeColor="text1"/>
          <w:sz w:val="28"/>
          <w14:textFill>
            <w14:solidFill>
              <w14:schemeClr w14:val="tx1"/>
            </w14:solidFill>
          </w14:textFill>
        </w:rPr>
        <w:t>域</w:t>
      </w:r>
      <w:bookmarkEnd w:id="10"/>
      <w:r>
        <w:rPr>
          <w:rFonts w:ascii="Times New Roman" w:hAnsi="Times New Roman" w:eastAsia="仿宋_GB2312"/>
          <w:color w:val="000000" w:themeColor="text1"/>
          <w:sz w:val="28"/>
          <w14:textFill>
            <w14:solidFill>
              <w14:schemeClr w14:val="tx1"/>
            </w14:solidFill>
          </w14:textFill>
        </w:rPr>
        <w:t>1.15</w:t>
      </w:r>
      <w:r>
        <w:rPr>
          <w:rFonts w:hint="eastAsia" w:ascii="Times New Roman" w:hAnsi="Times New Roman" w:eastAsia="仿宋_GB2312"/>
          <w:color w:val="000000" w:themeColor="text1"/>
          <w:sz w:val="28"/>
          <w14:textFill>
            <w14:solidFill>
              <w14:schemeClr w14:val="tx1"/>
            </w14:solidFill>
          </w14:textFill>
        </w:rPr>
        <w:t>公顷，占比</w:t>
      </w:r>
      <w:r>
        <w:rPr>
          <w:rFonts w:ascii="Times New Roman" w:hAnsi="Times New Roman" w:eastAsia="仿宋_GB2312"/>
          <w:color w:val="000000" w:themeColor="text1"/>
          <w:sz w:val="28"/>
          <w14:textFill>
            <w14:solidFill>
              <w14:schemeClr w14:val="tx1"/>
            </w14:solidFill>
          </w14:textFill>
        </w:rPr>
        <w:t>0.98%</w:t>
      </w:r>
      <w:r>
        <w:rPr>
          <w:rFonts w:hint="eastAsia" w:ascii="Times New Roman" w:hAnsi="Times New Roman" w:eastAsia="仿宋_GB2312"/>
          <w:color w:val="000000" w:themeColor="text1"/>
          <w:sz w:val="28"/>
          <w14:textFill>
            <w14:solidFill>
              <w14:schemeClr w14:val="tx1"/>
            </w14:solidFill>
          </w14:textFill>
        </w:rPr>
        <w:t>。</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本</w:t>
      </w:r>
      <w:r>
        <w:rPr>
          <w:rFonts w:hint="eastAsia" w:ascii="Times New Roman" w:hAnsi="Times New Roman" w:eastAsia="仿宋_GB2312"/>
          <w:color w:val="000000" w:themeColor="text1"/>
          <w:sz w:val="28"/>
          <w14:textFill>
            <w14:solidFill>
              <w14:schemeClr w14:val="tx1"/>
            </w14:solidFill>
          </w14:textFill>
        </w:rPr>
        <w:t>成片开发方案主要服务于南昌县东新乡用地需求。</w:t>
      </w:r>
      <w:r>
        <w:rPr>
          <w:rFonts w:ascii="Times New Roman" w:hAnsi="Times New Roman" w:eastAsia="仿宋_GB2312"/>
          <w:color w:val="000000" w:themeColor="text1"/>
          <w:sz w:val="28"/>
          <w14:textFill>
            <w14:solidFill>
              <w14:schemeClr w14:val="tx1"/>
            </w14:solidFill>
          </w14:textFill>
        </w:rPr>
        <w:t>开发有利于进一步推进新型城镇化进程，</w:t>
      </w:r>
      <w:r>
        <w:rPr>
          <w:rFonts w:hint="eastAsia" w:ascii="Times New Roman" w:hAnsi="Times New Roman" w:eastAsia="仿宋_GB2312"/>
          <w:color w:val="000000" w:themeColor="text1"/>
          <w:sz w:val="28"/>
          <w14:textFill>
            <w14:solidFill>
              <w14:schemeClr w14:val="tx1"/>
            </w14:solidFill>
          </w14:textFill>
        </w:rPr>
        <w:t>实现城乡基础设施一体化和公共服务均等化，</w:t>
      </w:r>
      <w:r>
        <w:rPr>
          <w:rFonts w:ascii="Times New Roman" w:hAnsi="Times New Roman" w:eastAsia="仿宋_GB2312"/>
          <w:color w:val="000000" w:themeColor="text1"/>
          <w:sz w:val="28"/>
          <w14:textFill>
            <w14:solidFill>
              <w14:schemeClr w14:val="tx1"/>
            </w14:solidFill>
          </w14:textFill>
        </w:rPr>
        <w:t>打造成片集中</w:t>
      </w:r>
      <w:r>
        <w:rPr>
          <w:rFonts w:hint="eastAsia" w:ascii="Times New Roman" w:hAnsi="Times New Roman" w:eastAsia="仿宋_GB2312"/>
          <w:color w:val="000000" w:themeColor="text1"/>
          <w:sz w:val="28"/>
          <w14:textFill>
            <w14:solidFill>
              <w14:schemeClr w14:val="tx1"/>
            </w14:solidFill>
          </w14:textFill>
        </w:rPr>
        <w:t>居住区、</w:t>
      </w:r>
      <w:r>
        <w:rPr>
          <w:rFonts w:ascii="Times New Roman" w:hAnsi="Times New Roman" w:eastAsia="仿宋_GB2312"/>
          <w:color w:val="000000" w:themeColor="text1"/>
          <w:sz w:val="28"/>
          <w14:textFill>
            <w14:solidFill>
              <w14:schemeClr w14:val="tx1"/>
            </w14:solidFill>
          </w14:textFill>
        </w:rPr>
        <w:t>商业中心，完善公共服务，提升片区城市品质，促进经济社会发展。</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其中居住用地主要是实现集中建设，改善居民生活条件，减少分散性居民点用地，</w:t>
      </w:r>
      <w:r>
        <w:rPr>
          <w:rFonts w:ascii="Times New Roman" w:hAnsi="Times New Roman" w:eastAsia="仿宋_GB2312"/>
          <w:color w:val="000000" w:themeColor="text1"/>
          <w:sz w:val="28"/>
          <w14:textFill>
            <w14:solidFill>
              <w14:schemeClr w14:val="tx1"/>
            </w14:solidFill>
          </w14:textFill>
        </w:rPr>
        <w:t>促进片区功能调整</w:t>
      </w:r>
      <w:r>
        <w:rPr>
          <w:rFonts w:hint="eastAsia" w:ascii="Times New Roman" w:hAnsi="Times New Roman" w:eastAsia="仿宋_GB2312"/>
          <w:color w:val="000000" w:themeColor="text1"/>
          <w:sz w:val="28"/>
          <w14:textFill>
            <w14:solidFill>
              <w14:schemeClr w14:val="tx1"/>
            </w14:solidFill>
          </w14:textFill>
        </w:rPr>
        <w:t>，集约节约用地；</w:t>
      </w:r>
    </w:p>
    <w:p>
      <w:pPr>
        <w:pStyle w:val="6"/>
        <w:ind w:firstLine="560"/>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商业服务业用地</w:t>
      </w:r>
      <w:r>
        <w:rPr>
          <w:rFonts w:hint="eastAsia" w:ascii="Times New Roman" w:hAnsi="Times New Roman" w:eastAsia="仿宋_GB2312"/>
          <w:color w:val="000000" w:themeColor="text1"/>
          <w:sz w:val="28"/>
          <w14:textFill>
            <w14:solidFill>
              <w14:schemeClr w14:val="tx1"/>
            </w14:solidFill>
          </w14:textFill>
        </w:rPr>
        <w:t>主要是打造多功能、多业种、多业态的商业集合体，成为扩大内需和拉动经济发展的新引擎；</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公共管理与公共服务用地及物流仓储</w:t>
      </w:r>
      <w:r>
        <w:rPr>
          <w:rFonts w:ascii="Times New Roman" w:hAnsi="Times New Roman" w:eastAsia="仿宋_GB2312"/>
          <w:color w:val="000000" w:themeColor="text1"/>
          <w:sz w:val="28"/>
          <w14:textFill>
            <w14:solidFill>
              <w14:schemeClr w14:val="tx1"/>
            </w14:solidFill>
          </w14:textFill>
        </w:rPr>
        <w:t>用地</w:t>
      </w:r>
      <w:r>
        <w:rPr>
          <w:rFonts w:hint="eastAsia" w:ascii="Times New Roman" w:hAnsi="Times New Roman" w:eastAsia="仿宋_GB2312"/>
          <w:color w:val="000000" w:themeColor="text1"/>
          <w:sz w:val="28"/>
          <w14:textFill>
            <w14:solidFill>
              <w14:schemeClr w14:val="tx1"/>
            </w14:solidFill>
          </w14:textFill>
        </w:rPr>
        <w:t>主要是</w:t>
      </w:r>
      <w:r>
        <w:rPr>
          <w:rFonts w:hint="eastAsia" w:eastAsia="仿宋_GB2312"/>
          <w:sz w:val="28"/>
          <w:szCs w:val="28"/>
        </w:rPr>
        <w:t>完善周边区域配套设施布置功能，为周边社区居民提供便民利民、文化娱乐等公共场所，提高居民生活质量，增强群众幸福感</w:t>
      </w:r>
      <w:r>
        <w:rPr>
          <w:rFonts w:hint="eastAsia" w:ascii="Times New Roman" w:hAnsi="Times New Roman" w:eastAsia="仿宋_GB2312"/>
          <w:color w:val="000000" w:themeColor="text1"/>
          <w:sz w:val="28"/>
          <w14:textFill>
            <w14:solidFill>
              <w14:schemeClr w14:val="tx1"/>
            </w14:solidFill>
          </w14:textFill>
        </w:rPr>
        <w:t>；</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道路与</w:t>
      </w:r>
      <w:r>
        <w:rPr>
          <w:rFonts w:ascii="Times New Roman" w:hAnsi="Times New Roman" w:eastAsia="仿宋_GB2312"/>
          <w:color w:val="000000" w:themeColor="text1"/>
          <w:sz w:val="28"/>
          <w14:textFill>
            <w14:solidFill>
              <w14:schemeClr w14:val="tx1"/>
            </w14:solidFill>
          </w14:textFill>
        </w:rPr>
        <w:t>交通运输用地</w:t>
      </w:r>
      <w:r>
        <w:rPr>
          <w:rFonts w:hint="eastAsia" w:ascii="Times New Roman" w:hAnsi="Times New Roman" w:eastAsia="仿宋_GB2312"/>
          <w:color w:val="000000" w:themeColor="text1"/>
          <w:sz w:val="28"/>
          <w14:textFill>
            <w14:solidFill>
              <w14:schemeClr w14:val="tx1"/>
            </w14:solidFill>
          </w14:textFill>
        </w:rPr>
        <w:t>主要是</w:t>
      </w:r>
      <w:r>
        <w:rPr>
          <w:rFonts w:ascii="Times New Roman" w:hAnsi="Times New Roman" w:eastAsia="仿宋_GB2312"/>
          <w:color w:val="000000" w:themeColor="text1"/>
          <w:sz w:val="28"/>
          <w14:textFill>
            <w14:solidFill>
              <w14:schemeClr w14:val="tx1"/>
            </w14:solidFill>
          </w14:textFill>
        </w:rPr>
        <w:t>完善道路交通设施建设功能，可为周边群众和产业园提供便利的交通通道，提高出行可达性和交通效率，促进片区功能调整，使整个区域发展环境得到改善，进而带动沿线区域经济发展</w:t>
      </w:r>
      <w:r>
        <w:rPr>
          <w:rFonts w:hint="eastAsia" w:ascii="Times New Roman" w:hAnsi="Times New Roman" w:eastAsia="仿宋_GB2312"/>
          <w:color w:val="000000" w:themeColor="text1"/>
          <w:sz w:val="28"/>
          <w14:textFill>
            <w14:solidFill>
              <w14:schemeClr w14:val="tx1"/>
            </w14:solidFill>
          </w14:textFill>
        </w:rPr>
        <w:t>；</w:t>
      </w:r>
    </w:p>
    <w:p>
      <w:pPr>
        <w:pStyle w:val="6"/>
        <w:ind w:firstLine="560"/>
      </w:pPr>
      <w:r>
        <w:rPr>
          <w:rFonts w:hint="eastAsia" w:ascii="Times New Roman" w:hAnsi="Times New Roman" w:eastAsia="仿宋_GB2312"/>
          <w:color w:val="000000" w:themeColor="text1"/>
          <w:sz w:val="28"/>
          <w14:textFill>
            <w14:solidFill>
              <w14:schemeClr w14:val="tx1"/>
            </w14:solidFill>
          </w14:textFill>
        </w:rPr>
        <w:t>绿地与广场用地及水域主要是</w:t>
      </w:r>
      <w:r>
        <w:rPr>
          <w:rFonts w:ascii="Times New Roman" w:hAnsi="Times New Roman" w:eastAsia="仿宋_GB2312"/>
          <w:color w:val="000000" w:themeColor="text1"/>
          <w:sz w:val="28"/>
          <w14:textFill>
            <w14:solidFill>
              <w14:schemeClr w14:val="tx1"/>
            </w14:solidFill>
          </w14:textFill>
        </w:rPr>
        <w:t>构建公园形态与城市空间有机融合、生产生活生态空间相宜、人城境业高度和谐的空间格局</w:t>
      </w:r>
      <w:r>
        <w:rPr>
          <w:rFonts w:hint="eastAsia" w:ascii="Times New Roman" w:hAnsi="Times New Roman" w:eastAsia="仿宋_GB2312"/>
          <w:color w:val="000000" w:themeColor="text1"/>
          <w:sz w:val="28"/>
          <w14:textFill>
            <w14:solidFill>
              <w14:schemeClr w14:val="tx1"/>
            </w14:solidFill>
          </w14:textFill>
        </w:rPr>
        <w:t>，提升</w:t>
      </w:r>
      <w:r>
        <w:rPr>
          <w:rFonts w:ascii="Times New Roman" w:hAnsi="Times New Roman" w:eastAsia="仿宋_GB2312"/>
          <w:color w:val="000000" w:themeColor="text1"/>
          <w:sz w:val="28"/>
          <w14:textFill>
            <w14:solidFill>
              <w14:schemeClr w14:val="tx1"/>
            </w14:solidFill>
          </w14:textFill>
        </w:rPr>
        <w:t>居民公共空间功能。</w:t>
      </w:r>
    </w:p>
    <w:p>
      <w:pPr>
        <w:pStyle w:val="2"/>
        <w:spacing w:line="240" w:lineRule="auto"/>
        <w:ind w:left="0" w:firstLine="640" w:firstLineChars="200"/>
        <w:rPr>
          <w:rFonts w:ascii="Times New Roman" w:hAnsi="Times New Roman" w:eastAsia="黑体"/>
          <w:b w:val="0"/>
          <w:bCs w:val="0"/>
          <w:sz w:val="32"/>
          <w:szCs w:val="32"/>
        </w:rPr>
      </w:pPr>
      <w:bookmarkStart w:id="11" w:name="_Toc69736462"/>
      <w:r>
        <w:rPr>
          <w:rFonts w:hint="eastAsia" w:ascii="Times New Roman" w:hAnsi="Times New Roman" w:eastAsia="黑体"/>
          <w:b w:val="0"/>
          <w:bCs w:val="0"/>
          <w:sz w:val="32"/>
          <w:szCs w:val="32"/>
        </w:rPr>
        <w:t>六、成片开发计划</w:t>
      </w:r>
      <w:bookmarkEnd w:id="11"/>
    </w:p>
    <w:p>
      <w:pPr>
        <w:ind w:firstLine="640"/>
        <w:rPr>
          <w:rFonts w:ascii="Times New Roman" w:hAnsi="Times New Roman" w:eastAsia="仿宋_GB2312" w:cs="仿宋_GB2312"/>
          <w:sz w:val="28"/>
          <w:szCs w:val="28"/>
        </w:rPr>
      </w:pPr>
      <w:r>
        <w:rPr>
          <w:rFonts w:hint="eastAsia" w:ascii="Times New Roman" w:hAnsi="Times New Roman" w:eastAsia="仿宋_GB2312" w:cs="仿宋_GB2312"/>
          <w:sz w:val="28"/>
          <w:szCs w:val="28"/>
        </w:rPr>
        <w:t>成片开发方案</w:t>
      </w:r>
      <w:r>
        <w:rPr>
          <w:rFonts w:ascii="Times New Roman" w:hAnsi="Times New Roman" w:eastAsia="仿宋_GB2312" w:cs="仿宋_GB2312"/>
          <w:sz w:val="28"/>
          <w:szCs w:val="28"/>
        </w:rPr>
        <w:t>实施期限为</w:t>
      </w:r>
      <w:r>
        <w:rPr>
          <w:rFonts w:hint="eastAsia" w:ascii="Times New Roman" w:hAnsi="Times New Roman" w:eastAsia="仿宋_GB2312" w:cs="仿宋_GB2312"/>
          <w:sz w:val="28"/>
          <w:szCs w:val="28"/>
        </w:rPr>
        <w:t>两</w:t>
      </w:r>
      <w:r>
        <w:rPr>
          <w:rFonts w:ascii="Times New Roman" w:hAnsi="Times New Roman" w:eastAsia="仿宋_GB2312" w:cs="仿宋_GB2312"/>
          <w:sz w:val="28"/>
          <w:szCs w:val="28"/>
        </w:rPr>
        <w:t>年，</w:t>
      </w:r>
      <w:r>
        <w:rPr>
          <w:rFonts w:hint="eastAsia" w:ascii="Times New Roman" w:hAnsi="Times New Roman" w:eastAsia="仿宋_GB2312" w:cs="仿宋_GB2312"/>
          <w:sz w:val="28"/>
          <w:szCs w:val="28"/>
        </w:rPr>
        <w:t>项目建设规模可行、内容有保障，采取的节约集约用地措施可行，</w:t>
      </w:r>
      <w:r>
        <w:rPr>
          <w:rFonts w:ascii="Times New Roman" w:hAnsi="Times New Roman" w:eastAsia="仿宋_GB2312" w:cs="仿宋_GB2312"/>
          <w:sz w:val="28"/>
          <w:szCs w:val="28"/>
        </w:rPr>
        <w:t>成片开发计划具备可行性。</w:t>
      </w:r>
    </w:p>
    <w:p>
      <w:pPr>
        <w:pStyle w:val="2"/>
        <w:spacing w:line="240" w:lineRule="auto"/>
        <w:ind w:left="0" w:firstLine="640" w:firstLineChars="200"/>
        <w:rPr>
          <w:rFonts w:ascii="Times New Roman" w:hAnsi="Times New Roman" w:eastAsia="黑体"/>
          <w:b w:val="0"/>
          <w:bCs w:val="0"/>
          <w:sz w:val="32"/>
          <w:szCs w:val="32"/>
        </w:rPr>
      </w:pPr>
      <w:bookmarkStart w:id="12" w:name="_Toc69736470"/>
      <w:r>
        <w:rPr>
          <w:rFonts w:hint="eastAsia" w:ascii="Times New Roman" w:hAnsi="Times New Roman" w:eastAsia="黑体"/>
          <w:b w:val="0"/>
          <w:bCs w:val="0"/>
          <w:sz w:val="32"/>
          <w:szCs w:val="32"/>
        </w:rPr>
        <w:t>七、公益性用地情况</w:t>
      </w:r>
      <w:bookmarkEnd w:id="12"/>
    </w:p>
    <w:p>
      <w:pPr>
        <w:spacing w:line="360" w:lineRule="auto"/>
        <w:ind w:firstLine="560" w:firstLineChars="200"/>
        <w:rPr>
          <w:rFonts w:ascii="Times New Roman" w:hAnsi="Times New Roman" w:eastAsia="仿宋_GB2312" w:cs="仿宋_GB2312"/>
          <w:color w:val="000000" w:themeColor="text1"/>
          <w:sz w:val="28"/>
          <w:szCs w:val="28"/>
          <w14:textFill>
            <w14:solidFill>
              <w14:schemeClr w14:val="tx1"/>
            </w14:solidFill>
          </w14:textFill>
        </w:rPr>
      </w:pPr>
      <w:r>
        <w:rPr>
          <w:rFonts w:hint="eastAsia" w:ascii="Times New Roman" w:hAnsi="Times New Roman" w:eastAsia="仿宋_GB2312" w:cs="仿宋_GB2312"/>
          <w:sz w:val="28"/>
          <w:szCs w:val="28"/>
        </w:rPr>
        <w:t>本成片开发方案中涉及公益性用地包括</w:t>
      </w:r>
      <w:r>
        <w:rPr>
          <w:rFonts w:hint="eastAsia" w:ascii="Times New Roman" w:hAnsi="Times New Roman" w:eastAsia="仿宋_GB2312" w:cs="仿宋_GB2312"/>
          <w:color w:val="000000" w:themeColor="text1"/>
          <w:sz w:val="28"/>
          <w:szCs w:val="28"/>
          <w14:textFill>
            <w14:solidFill>
              <w14:schemeClr w14:val="tx1"/>
            </w14:solidFill>
          </w14:textFill>
        </w:rPr>
        <w:t>行政办公</w:t>
      </w:r>
      <w:r>
        <w:rPr>
          <w:rFonts w:ascii="Times New Roman" w:hAnsi="Times New Roman" w:eastAsia="仿宋_GB2312" w:cs="仿宋_GB2312"/>
          <w:color w:val="000000" w:themeColor="text1"/>
          <w:sz w:val="28"/>
          <w:szCs w:val="28"/>
          <w14:textFill>
            <w14:solidFill>
              <w14:schemeClr w14:val="tx1"/>
            </w14:solidFill>
          </w14:textFill>
        </w:rPr>
        <w:t>用地</w:t>
      </w:r>
      <w:r>
        <w:rPr>
          <w:rFonts w:hint="eastAsia" w:ascii="Times New Roman" w:hAnsi="Times New Roman" w:eastAsia="仿宋_GB2312" w:cs="仿宋_GB2312"/>
          <w:color w:val="000000" w:themeColor="text1"/>
          <w:sz w:val="28"/>
          <w:szCs w:val="28"/>
          <w14:textFill>
            <w14:solidFill>
              <w14:schemeClr w14:val="tx1"/>
            </w14:solidFill>
          </w14:textFill>
        </w:rPr>
        <w:t>、道路用地、教育用地、宗教用地、防护绿地、公园绿地、水域等，合计</w:t>
      </w:r>
      <w:r>
        <w:rPr>
          <w:rFonts w:ascii="Times New Roman" w:hAnsi="Times New Roman" w:eastAsia="仿宋_GB2312" w:cs="仿宋_GB2312"/>
          <w:color w:val="000000" w:themeColor="text1"/>
          <w:sz w:val="28"/>
          <w:szCs w:val="28"/>
          <w14:textFill>
            <w14:solidFill>
              <w14:schemeClr w14:val="tx1"/>
            </w14:solidFill>
          </w14:textFill>
        </w:rPr>
        <w:t>72.53</w:t>
      </w:r>
      <w:r>
        <w:rPr>
          <w:rFonts w:hint="eastAsia" w:ascii="Times New Roman" w:hAnsi="Times New Roman" w:eastAsia="仿宋_GB2312" w:cs="仿宋_GB2312"/>
          <w:color w:val="000000" w:themeColor="text1"/>
          <w:sz w:val="28"/>
          <w:szCs w:val="28"/>
          <w14:textFill>
            <w14:solidFill>
              <w14:schemeClr w14:val="tx1"/>
            </w14:solidFill>
          </w14:textFill>
        </w:rPr>
        <w:t>公顷，</w:t>
      </w:r>
      <w:r>
        <w:rPr>
          <w:rFonts w:ascii="Times New Roman" w:hAnsi="Times New Roman" w:eastAsia="仿宋_GB2312" w:cs="仿宋_GB2312"/>
          <w:sz w:val="28"/>
          <w:szCs w:val="28"/>
        </w:rPr>
        <w:t>占</w:t>
      </w:r>
      <w:bookmarkStart w:id="13" w:name="_Hlk77511245"/>
      <w:r>
        <w:rPr>
          <w:rFonts w:ascii="Times New Roman" w:hAnsi="Times New Roman" w:eastAsia="仿宋_GB2312" w:cs="仿宋_GB2312"/>
          <w:sz w:val="28"/>
          <w:szCs w:val="28"/>
        </w:rPr>
        <w:t>用地总面积的</w:t>
      </w:r>
      <w:bookmarkEnd w:id="13"/>
      <w:r>
        <w:rPr>
          <w:rFonts w:ascii="Times New Roman" w:hAnsi="Times New Roman" w:eastAsia="仿宋_GB2312" w:cs="仿宋_GB2312"/>
          <w:color w:val="000000" w:themeColor="text1"/>
          <w:sz w:val="28"/>
          <w:szCs w:val="28"/>
          <w14:textFill>
            <w14:solidFill>
              <w14:schemeClr w14:val="tx1"/>
            </w14:solidFill>
          </w14:textFill>
        </w:rPr>
        <w:t>62.16%</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符合赣府厅发〔2021〕2号文规定</w:t>
      </w:r>
      <w:r>
        <w:rPr>
          <w:rFonts w:hint="eastAsia" w:ascii="Times New Roman" w:hAnsi="Times New Roman" w:eastAsia="仿宋_GB2312" w:cs="仿宋_GB2312"/>
          <w:kern w:val="0"/>
          <w:sz w:val="28"/>
          <w:szCs w:val="28"/>
        </w:rPr>
        <w:t>。</w:t>
      </w:r>
    </w:p>
    <w:p>
      <w:pPr>
        <w:pStyle w:val="2"/>
        <w:spacing w:line="240" w:lineRule="auto"/>
        <w:ind w:left="0" w:firstLine="640" w:firstLineChars="200"/>
        <w:rPr>
          <w:rFonts w:ascii="Times New Roman" w:hAnsi="Times New Roman" w:eastAsia="黑体"/>
          <w:b w:val="0"/>
          <w:bCs w:val="0"/>
          <w:sz w:val="32"/>
          <w:szCs w:val="32"/>
        </w:rPr>
      </w:pPr>
      <w:bookmarkStart w:id="14" w:name="_Toc69736471"/>
      <w:r>
        <w:rPr>
          <w:rFonts w:hint="eastAsia" w:ascii="Times New Roman" w:hAnsi="Times New Roman" w:eastAsia="黑体"/>
          <w:b w:val="0"/>
          <w:bCs w:val="0"/>
          <w:sz w:val="32"/>
          <w:szCs w:val="32"/>
        </w:rPr>
        <w:t>八、</w:t>
      </w:r>
      <w:bookmarkEnd w:id="14"/>
      <w:r>
        <w:rPr>
          <w:rFonts w:hint="eastAsia" w:ascii="Times New Roman" w:hAnsi="Times New Roman" w:eastAsia="黑体"/>
          <w:b w:val="0"/>
          <w:bCs w:val="0"/>
          <w:sz w:val="32"/>
          <w:szCs w:val="32"/>
        </w:rPr>
        <w:t>成片开发的土地利用及经济、社会、生态效益</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成片开发方案科学确定了年度成片开发的规模、用途及规划强度，有利于强化规划的引领作用，有利于优化土地利用空间格局，因地制宜配置用地，充分发挥土地要素在</w:t>
      </w:r>
      <w:r>
        <w:rPr>
          <w:rFonts w:hint="eastAsia" w:ascii="Times New Roman" w:hAnsi="Times New Roman" w:eastAsia="仿宋_GB2312"/>
          <w:sz w:val="28"/>
          <w:szCs w:val="28"/>
        </w:rPr>
        <w:t>象湖新城片区</w:t>
      </w:r>
      <w:r>
        <w:rPr>
          <w:rFonts w:hint="eastAsia" w:ascii="Times New Roman" w:hAnsi="Times New Roman" w:eastAsia="仿宋_GB2312" w:cs="仿宋_GB2312"/>
          <w:sz w:val="28"/>
          <w:szCs w:val="28"/>
        </w:rPr>
        <w:t>建设发展中的作用。</w:t>
      </w:r>
      <w:r>
        <w:rPr>
          <w:rFonts w:hint="eastAsia" w:ascii="Times New Roman" w:hAnsi="Times New Roman" w:eastAsia="仿宋_GB2312" w:cs="Times New Roman"/>
          <w:sz w:val="28"/>
          <w:szCs w:val="28"/>
        </w:rPr>
        <w:t>项目区的开发建设具有良好的经济效益，带动当地就业</w:t>
      </w:r>
      <w:r>
        <w:rPr>
          <w:rFonts w:hint="eastAsia" w:ascii="Times New Roman" w:hAnsi="Times New Roman" w:eastAsia="仿宋_GB2312" w:cs="仿宋_GB2312"/>
          <w:sz w:val="28"/>
          <w:szCs w:val="28"/>
        </w:rPr>
        <w:t>、</w:t>
      </w:r>
      <w:r>
        <w:rPr>
          <w:rFonts w:hint="eastAsia" w:ascii="Times New Roman" w:hAnsi="Times New Roman" w:eastAsia="仿宋_GB2312" w:cs="Times New Roman"/>
          <w:sz w:val="28"/>
          <w:szCs w:val="28"/>
        </w:rPr>
        <w:t>提升居民生活水平，同时</w:t>
      </w:r>
      <w:r>
        <w:rPr>
          <w:rFonts w:hint="eastAsia" w:ascii="Times New Roman" w:hAnsi="Times New Roman" w:eastAsia="仿宋_GB2312" w:cs="仿宋_GB2312"/>
          <w:sz w:val="28"/>
          <w:szCs w:val="28"/>
        </w:rPr>
        <w:t>改善人居环境，</w:t>
      </w:r>
      <w:r>
        <w:rPr>
          <w:rFonts w:hint="eastAsia" w:ascii="Times New Roman" w:hAnsi="Times New Roman" w:eastAsia="仿宋_GB2312" w:cs="仿宋_GB2312"/>
          <w:kern w:val="0"/>
          <w:sz w:val="28"/>
          <w:szCs w:val="28"/>
        </w:rPr>
        <w:t>增强</w:t>
      </w:r>
      <w:r>
        <w:rPr>
          <w:rFonts w:hint="eastAsia" w:ascii="Times New Roman" w:hAnsi="Times New Roman" w:eastAsia="仿宋_GB2312" w:cs="仿宋_GB2312"/>
          <w:sz w:val="28"/>
          <w:szCs w:val="28"/>
        </w:rPr>
        <w:t>城镇吸引力。</w:t>
      </w:r>
    </w:p>
    <w:p>
      <w:pPr>
        <w:pStyle w:val="2"/>
        <w:spacing w:line="240" w:lineRule="auto"/>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九、结论</w:t>
      </w:r>
    </w:p>
    <w:p>
      <w:pPr>
        <w:spacing w:line="360" w:lineRule="auto"/>
        <w:ind w:firstLine="560" w:firstLineChars="200"/>
        <w:rPr>
          <w:rFonts w:ascii="Times New Roman" w:hAnsi="Times New Roman" w:eastAsia="仿宋_GB2312" w:cs="仿宋_GB2312"/>
          <w:sz w:val="28"/>
          <w:szCs w:val="28"/>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仿宋_GB2312" w:cs="仿宋_GB2312"/>
          <w:sz w:val="28"/>
          <w:szCs w:val="28"/>
        </w:rPr>
        <w:t>该方案符合</w:t>
      </w:r>
      <w:r>
        <w:rPr>
          <w:rFonts w:hint="eastAsia" w:ascii="Times New Roman" w:hAnsi="Times New Roman" w:eastAsia="仿宋_GB2312" w:cs="仿宋_GB2312"/>
          <w:color w:val="000000" w:themeColor="text1"/>
          <w:sz w:val="28"/>
          <w:szCs w:val="28"/>
          <w14:textFill>
            <w14:solidFill>
              <w14:schemeClr w14:val="tx1"/>
            </w14:solidFill>
          </w14:textFill>
        </w:rPr>
        <w:t>《自然资源部关于印发&lt;土地征收成片开发标准（试行）&gt;的通知》（自然资规〔2020〕5号）</w:t>
      </w:r>
      <w:r>
        <w:rPr>
          <w:rFonts w:ascii="Times New Roman" w:hAnsi="Times New Roman" w:eastAsia="仿宋_GB2312" w:cs="仿宋_GB2312"/>
          <w:sz w:val="28"/>
          <w:szCs w:val="28"/>
        </w:rPr>
        <w:t>和《江西省人民政府办公厅关于执行土地征收成片开发标准(试行)的指导意见》（赣府厅发〔2021〕2号）的要求</w:t>
      </w:r>
      <w:r>
        <w:rPr>
          <w:rFonts w:hint="eastAsia" w:ascii="Times New Roman" w:hAnsi="Times New Roman" w:eastAsia="仿宋_GB2312" w:cs="仿宋_GB2312"/>
          <w:sz w:val="28"/>
          <w:szCs w:val="28"/>
        </w:rPr>
        <w:t>，总体可行</w:t>
      </w:r>
      <w:r>
        <w:rPr>
          <w:rFonts w:ascii="Times New Roman" w:hAnsi="Times New Roman" w:eastAsia="仿宋_GB2312" w:cs="仿宋_GB2312"/>
          <w:sz w:val="28"/>
          <w:szCs w:val="28"/>
        </w:rPr>
        <w:t>。</w:t>
      </w:r>
    </w:p>
    <w:p>
      <w:pPr>
        <w:jc w:val="center"/>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topMargin">
                  <wp:posOffset>779780</wp:posOffset>
                </wp:positionV>
                <wp:extent cx="601345" cy="586740"/>
                <wp:effectExtent l="0" t="0" r="27305" b="22860"/>
                <wp:wrapThrough wrapText="bothSides">
                  <wp:wrapPolygon>
                    <wp:start x="0" y="0"/>
                    <wp:lineTo x="0" y="21740"/>
                    <wp:lineTo x="21897" y="21740"/>
                    <wp:lineTo x="21897" y="0"/>
                    <wp:lineTo x="0" y="0"/>
                  </wp:wrapPolygon>
                </wp:wrapThrough>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1345" cy="586740"/>
                        </a:xfrm>
                        <a:prstGeom prst="rect">
                          <a:avLst/>
                        </a:prstGeom>
                        <a:solidFill>
                          <a:srgbClr val="FFFFFF"/>
                        </a:solidFill>
                        <a:ln w="9525">
                          <a:solidFill>
                            <a:schemeClr val="bg1"/>
                          </a:solidFill>
                          <a:miter lim="800000"/>
                        </a:ln>
                      </wps:spPr>
                      <wps:txbx>
                        <w:txbxContent>
                          <w:p>
                            <w:pPr>
                              <w:adjustRightInd w:val="0"/>
                              <w:jc w:val="center"/>
                              <w:rPr>
                                <w:rFonts w:ascii="黑体" w:hAnsi="黑体" w:eastAsia="黑体"/>
                                <w:b/>
                                <w:bCs/>
                                <w:sz w:val="32"/>
                                <w:szCs w:val="32"/>
                              </w:rPr>
                            </w:pPr>
                            <w:r>
                              <w:rPr>
                                <w:rFonts w:hint="eastAsia" w:ascii="黑体" w:hAnsi="黑体" w:eastAsia="黑体"/>
                                <w:b/>
                                <w:bCs/>
                                <w:sz w:val="32"/>
                                <w:szCs w:val="32"/>
                              </w:rPr>
                              <w:t>附图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pt;margin-top:61.4pt;height:46.2pt;width:47.35pt;mso-position-horizontal-relative:page;mso-position-vertical-relative:page;mso-wrap-distance-left:9pt;mso-wrap-distance-right:9pt;z-index:251659264;mso-width-relative:page;mso-height-relative:page;" fillcolor="#FFFFFF" filled="t" stroked="t" coordsize="21600,21600" wrapcoords="0 0 0 21740 21897 21740 21897 0 0 0" o:gfxdata="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T1yhNUAAAAHAQAADwAAAAAAAAABACAAAAAiAAAAZHJzL2Rvd25y&#10;ZXYueG1sUEsBAhQAFAAAAAgAh07iQCWFUQI6AgAAfAQAAA4AAAAAAAAAAQAgAAAAJAEAAGRycy9l&#10;Mm9Eb2MueG1sUEsFBgAAAAAGAAYAWQEAANAFAAAAAA==&#10;">
                <v:fill on="t" focussize="0,0"/>
                <v:stroke color="#FFFFFF [3212]" miterlimit="8" joinstyle="miter"/>
                <v:imagedata o:title=""/>
                <o:lock v:ext="edit" aspectratio="f"/>
                <v:textbox>
                  <w:txbxContent>
                    <w:p>
                      <w:pPr>
                        <w:adjustRightInd w:val="0"/>
                        <w:jc w:val="center"/>
                        <w:rPr>
                          <w:rFonts w:ascii="黑体" w:hAnsi="黑体" w:eastAsia="黑体"/>
                          <w:b/>
                          <w:bCs/>
                          <w:sz w:val="32"/>
                          <w:szCs w:val="32"/>
                        </w:rPr>
                      </w:pPr>
                      <w:r>
                        <w:rPr>
                          <w:rFonts w:hint="eastAsia" w:ascii="黑体" w:hAnsi="黑体" w:eastAsia="黑体"/>
                          <w:b/>
                          <w:bCs/>
                          <w:sz w:val="32"/>
                          <w:szCs w:val="32"/>
                        </w:rPr>
                        <w:t>附图</w:t>
                      </w:r>
                    </w:p>
                  </w:txbxContent>
                </v:textbox>
                <w10:wrap type="through"/>
              </v:shape>
            </w:pict>
          </mc:Fallback>
        </mc:AlternateContent>
      </w:r>
      <w:r>
        <w:rPr>
          <w:rFonts w:ascii="Times New Roman" w:hAnsi="Times New Roman" w:eastAsia="仿宋_GB2312" w:cs="仿宋_GB2312"/>
          <w:kern w:val="0"/>
          <w:sz w:val="28"/>
          <w:szCs w:val="28"/>
        </w:rPr>
        <w:drawing>
          <wp:inline distT="0" distB="0" distL="0" distR="0">
            <wp:extent cx="11887200" cy="84067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1887200" cy="8406765"/>
                    </a:xfrm>
                    <a:prstGeom prst="rect">
                      <a:avLst/>
                    </a:prstGeom>
                    <a:noFill/>
                    <a:ln>
                      <a:noFill/>
                    </a:ln>
                  </pic:spPr>
                </pic:pic>
              </a:graphicData>
            </a:graphic>
          </wp:inline>
        </w:drawing>
      </w:r>
    </w:p>
    <w:p>
      <w:pPr>
        <w:jc w:val="center"/>
        <w:rPr>
          <w:rFonts w:ascii="Times New Roman" w:hAnsi="Times New Roman" w:eastAsia="仿宋_GB2312" w:cs="仿宋_GB2312"/>
          <w:kern w:val="0"/>
          <w:sz w:val="28"/>
          <w:szCs w:val="28"/>
        </w:rPr>
      </w:pPr>
      <w:r>
        <w:rPr>
          <w:rFonts w:ascii="Times New Roman" w:hAnsi="Times New Roman" w:eastAsia="仿宋_GB2312" w:cs="仿宋_GB2312"/>
          <w:kern w:val="0"/>
          <w:sz w:val="28"/>
          <w:szCs w:val="28"/>
        </w:rPr>
        <w:drawing>
          <wp:inline distT="0" distB="0" distL="0" distR="0">
            <wp:extent cx="11887200" cy="8402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887200" cy="8402955"/>
                    </a:xfrm>
                    <a:prstGeom prst="rect">
                      <a:avLst/>
                    </a:prstGeom>
                    <a:noFill/>
                    <a:ln>
                      <a:noFill/>
                    </a:ln>
                  </pic:spPr>
                </pic:pic>
              </a:graphicData>
            </a:graphic>
          </wp:inline>
        </w:drawing>
      </w:r>
      <w:r>
        <w:rPr>
          <w:rFonts w:ascii="Times New Roman" w:hAnsi="Times New Roman" w:eastAsia="仿宋_GB2312" w:cs="仿宋_GB2312"/>
          <w:kern w:val="0"/>
          <w:sz w:val="28"/>
          <w:szCs w:val="28"/>
        </w:rPr>
        <w:drawing>
          <wp:inline distT="0" distB="0" distL="0" distR="0">
            <wp:extent cx="11887200" cy="84029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887200" cy="8402955"/>
                    </a:xfrm>
                    <a:prstGeom prst="rect">
                      <a:avLst/>
                    </a:prstGeom>
                    <a:noFill/>
                    <a:ln>
                      <a:noFill/>
                    </a:ln>
                  </pic:spPr>
                </pic:pic>
              </a:graphicData>
            </a:graphic>
          </wp:inline>
        </w:drawing>
      </w:r>
    </w:p>
    <w:sectPr>
      <w:pgSz w:w="23811" w:h="16838"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0252574"/>
      <w:docPartObj>
        <w:docPartGallery w:val="autotext"/>
      </w:docPartObj>
    </w:sdtPr>
    <w:sdtContent>
      <w:p>
        <w:pPr>
          <w:pStyle w:val="8"/>
          <w:jc w:val="center"/>
        </w:pPr>
        <w:r>
          <w:fldChar w:fldCharType="begin"/>
        </w:r>
        <w:r>
          <w:instrText xml:space="preserve">PAGE   \* MERGEFORMAT</w:instrText>
        </w:r>
        <w:r>
          <w:fldChar w:fldCharType="separate"/>
        </w:r>
        <w:r>
          <w:rPr>
            <w:lang w:val="zh-CN"/>
          </w:rPr>
          <w:t>5</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863"/>
    <w:rsid w:val="00002990"/>
    <w:rsid w:val="00003D37"/>
    <w:rsid w:val="00006A39"/>
    <w:rsid w:val="00021358"/>
    <w:rsid w:val="0002636E"/>
    <w:rsid w:val="00034D98"/>
    <w:rsid w:val="00035302"/>
    <w:rsid w:val="00044CF4"/>
    <w:rsid w:val="0004620D"/>
    <w:rsid w:val="0004666E"/>
    <w:rsid w:val="00046B50"/>
    <w:rsid w:val="00050931"/>
    <w:rsid w:val="00055F67"/>
    <w:rsid w:val="00060E47"/>
    <w:rsid w:val="00064FD9"/>
    <w:rsid w:val="00071B2D"/>
    <w:rsid w:val="000721EE"/>
    <w:rsid w:val="00075EBC"/>
    <w:rsid w:val="000812B6"/>
    <w:rsid w:val="00081EE2"/>
    <w:rsid w:val="00084AA5"/>
    <w:rsid w:val="00084F32"/>
    <w:rsid w:val="0008792B"/>
    <w:rsid w:val="00095539"/>
    <w:rsid w:val="00095B8B"/>
    <w:rsid w:val="000A1077"/>
    <w:rsid w:val="000A13C1"/>
    <w:rsid w:val="000A1658"/>
    <w:rsid w:val="000A60A2"/>
    <w:rsid w:val="000A69FD"/>
    <w:rsid w:val="000B193E"/>
    <w:rsid w:val="000B2666"/>
    <w:rsid w:val="000C0CFE"/>
    <w:rsid w:val="000C761A"/>
    <w:rsid w:val="000C7AC1"/>
    <w:rsid w:val="000D2683"/>
    <w:rsid w:val="000D53B3"/>
    <w:rsid w:val="000E43F0"/>
    <w:rsid w:val="00100D8D"/>
    <w:rsid w:val="00100EE0"/>
    <w:rsid w:val="00101DB0"/>
    <w:rsid w:val="00102897"/>
    <w:rsid w:val="001062CD"/>
    <w:rsid w:val="0010659D"/>
    <w:rsid w:val="00112F50"/>
    <w:rsid w:val="00116210"/>
    <w:rsid w:val="00117ED9"/>
    <w:rsid w:val="001331DA"/>
    <w:rsid w:val="00136F7E"/>
    <w:rsid w:val="00141D48"/>
    <w:rsid w:val="00150D9A"/>
    <w:rsid w:val="00152203"/>
    <w:rsid w:val="00153287"/>
    <w:rsid w:val="0016462A"/>
    <w:rsid w:val="00172115"/>
    <w:rsid w:val="001746AF"/>
    <w:rsid w:val="001777DC"/>
    <w:rsid w:val="0018342C"/>
    <w:rsid w:val="001936E2"/>
    <w:rsid w:val="00196223"/>
    <w:rsid w:val="00197248"/>
    <w:rsid w:val="001A0411"/>
    <w:rsid w:val="001A1140"/>
    <w:rsid w:val="001A13B0"/>
    <w:rsid w:val="001A57E9"/>
    <w:rsid w:val="001A7845"/>
    <w:rsid w:val="001B0804"/>
    <w:rsid w:val="001B43BB"/>
    <w:rsid w:val="001C1906"/>
    <w:rsid w:val="001C6D7B"/>
    <w:rsid w:val="001C7025"/>
    <w:rsid w:val="001D0CE8"/>
    <w:rsid w:val="001D0FFA"/>
    <w:rsid w:val="001D21B3"/>
    <w:rsid w:val="001D228A"/>
    <w:rsid w:val="001D5874"/>
    <w:rsid w:val="001E541C"/>
    <w:rsid w:val="001E69C1"/>
    <w:rsid w:val="001E6B39"/>
    <w:rsid w:val="001F05B5"/>
    <w:rsid w:val="001F106E"/>
    <w:rsid w:val="001F4DF9"/>
    <w:rsid w:val="001F692B"/>
    <w:rsid w:val="002032B3"/>
    <w:rsid w:val="00203630"/>
    <w:rsid w:val="00207485"/>
    <w:rsid w:val="00217520"/>
    <w:rsid w:val="002200DF"/>
    <w:rsid w:val="00226DF5"/>
    <w:rsid w:val="0022743E"/>
    <w:rsid w:val="002378EE"/>
    <w:rsid w:val="00237C7B"/>
    <w:rsid w:val="00246E08"/>
    <w:rsid w:val="00251038"/>
    <w:rsid w:val="00257982"/>
    <w:rsid w:val="002601E3"/>
    <w:rsid w:val="00262CBB"/>
    <w:rsid w:val="00265FC8"/>
    <w:rsid w:val="00270D34"/>
    <w:rsid w:val="00271387"/>
    <w:rsid w:val="00273723"/>
    <w:rsid w:val="00274DD8"/>
    <w:rsid w:val="0027500C"/>
    <w:rsid w:val="00277468"/>
    <w:rsid w:val="0028000A"/>
    <w:rsid w:val="00283954"/>
    <w:rsid w:val="00283E5A"/>
    <w:rsid w:val="00284164"/>
    <w:rsid w:val="00284D80"/>
    <w:rsid w:val="002853A5"/>
    <w:rsid w:val="00287056"/>
    <w:rsid w:val="0028762C"/>
    <w:rsid w:val="002905B6"/>
    <w:rsid w:val="00290795"/>
    <w:rsid w:val="00295AE7"/>
    <w:rsid w:val="00297F13"/>
    <w:rsid w:val="002A089A"/>
    <w:rsid w:val="002A1B28"/>
    <w:rsid w:val="002A2CE0"/>
    <w:rsid w:val="002A4A40"/>
    <w:rsid w:val="002B113E"/>
    <w:rsid w:val="002B6D07"/>
    <w:rsid w:val="002C03E3"/>
    <w:rsid w:val="002C4583"/>
    <w:rsid w:val="002C6ED2"/>
    <w:rsid w:val="002D07C0"/>
    <w:rsid w:val="002D5095"/>
    <w:rsid w:val="002D5AF4"/>
    <w:rsid w:val="002D745B"/>
    <w:rsid w:val="002D7C48"/>
    <w:rsid w:val="002E1D30"/>
    <w:rsid w:val="002E60CD"/>
    <w:rsid w:val="002F7C84"/>
    <w:rsid w:val="00300358"/>
    <w:rsid w:val="003021A4"/>
    <w:rsid w:val="00305C47"/>
    <w:rsid w:val="003077B3"/>
    <w:rsid w:val="00314EAD"/>
    <w:rsid w:val="00317F1B"/>
    <w:rsid w:val="00322345"/>
    <w:rsid w:val="0032544F"/>
    <w:rsid w:val="00331593"/>
    <w:rsid w:val="003356B4"/>
    <w:rsid w:val="00345A64"/>
    <w:rsid w:val="00347FC8"/>
    <w:rsid w:val="00353F95"/>
    <w:rsid w:val="00354113"/>
    <w:rsid w:val="00360F2C"/>
    <w:rsid w:val="00362914"/>
    <w:rsid w:val="003644D5"/>
    <w:rsid w:val="003660AF"/>
    <w:rsid w:val="00366272"/>
    <w:rsid w:val="00366B44"/>
    <w:rsid w:val="00367716"/>
    <w:rsid w:val="00374380"/>
    <w:rsid w:val="00377A59"/>
    <w:rsid w:val="00380DAF"/>
    <w:rsid w:val="00384B05"/>
    <w:rsid w:val="00386887"/>
    <w:rsid w:val="00391A4C"/>
    <w:rsid w:val="00392B93"/>
    <w:rsid w:val="00394689"/>
    <w:rsid w:val="003A0CF6"/>
    <w:rsid w:val="003A181A"/>
    <w:rsid w:val="003A357A"/>
    <w:rsid w:val="003B0E72"/>
    <w:rsid w:val="003C2F42"/>
    <w:rsid w:val="003C4345"/>
    <w:rsid w:val="003C69F4"/>
    <w:rsid w:val="003D20B4"/>
    <w:rsid w:val="003D301C"/>
    <w:rsid w:val="003D48BB"/>
    <w:rsid w:val="003D666F"/>
    <w:rsid w:val="003E0B1E"/>
    <w:rsid w:val="003E3287"/>
    <w:rsid w:val="003F0A1D"/>
    <w:rsid w:val="003F1AA7"/>
    <w:rsid w:val="003F3EF1"/>
    <w:rsid w:val="003F6FBA"/>
    <w:rsid w:val="003F709D"/>
    <w:rsid w:val="00403223"/>
    <w:rsid w:val="00405A4E"/>
    <w:rsid w:val="00405D7E"/>
    <w:rsid w:val="00406171"/>
    <w:rsid w:val="0041053E"/>
    <w:rsid w:val="00414551"/>
    <w:rsid w:val="00416DB3"/>
    <w:rsid w:val="004244B6"/>
    <w:rsid w:val="00442B8A"/>
    <w:rsid w:val="00442BBF"/>
    <w:rsid w:val="00446869"/>
    <w:rsid w:val="004514FA"/>
    <w:rsid w:val="004515A8"/>
    <w:rsid w:val="004540CD"/>
    <w:rsid w:val="00456AA6"/>
    <w:rsid w:val="00456E8B"/>
    <w:rsid w:val="004665E4"/>
    <w:rsid w:val="004675EB"/>
    <w:rsid w:val="004715DC"/>
    <w:rsid w:val="00473D1F"/>
    <w:rsid w:val="004753FA"/>
    <w:rsid w:val="00475C4F"/>
    <w:rsid w:val="00493D35"/>
    <w:rsid w:val="0049467C"/>
    <w:rsid w:val="00494BB5"/>
    <w:rsid w:val="00496A29"/>
    <w:rsid w:val="004A0ED3"/>
    <w:rsid w:val="004A1F88"/>
    <w:rsid w:val="004A2E08"/>
    <w:rsid w:val="004A3BC9"/>
    <w:rsid w:val="004B0BC6"/>
    <w:rsid w:val="004B4DF4"/>
    <w:rsid w:val="004C094A"/>
    <w:rsid w:val="004C3598"/>
    <w:rsid w:val="004C4E1C"/>
    <w:rsid w:val="004D117D"/>
    <w:rsid w:val="004D6877"/>
    <w:rsid w:val="004D6AAB"/>
    <w:rsid w:val="004E6FE3"/>
    <w:rsid w:val="004E7688"/>
    <w:rsid w:val="004F245D"/>
    <w:rsid w:val="004F7BEC"/>
    <w:rsid w:val="00502974"/>
    <w:rsid w:val="005030BD"/>
    <w:rsid w:val="005036B8"/>
    <w:rsid w:val="00504C3A"/>
    <w:rsid w:val="00505813"/>
    <w:rsid w:val="00505B01"/>
    <w:rsid w:val="00515173"/>
    <w:rsid w:val="00540931"/>
    <w:rsid w:val="00540E2E"/>
    <w:rsid w:val="00543056"/>
    <w:rsid w:val="00543B46"/>
    <w:rsid w:val="00545B1A"/>
    <w:rsid w:val="00552936"/>
    <w:rsid w:val="0055484E"/>
    <w:rsid w:val="005566FE"/>
    <w:rsid w:val="005570D2"/>
    <w:rsid w:val="0056061C"/>
    <w:rsid w:val="00573261"/>
    <w:rsid w:val="00573D0F"/>
    <w:rsid w:val="005743B1"/>
    <w:rsid w:val="00576089"/>
    <w:rsid w:val="00576531"/>
    <w:rsid w:val="00581C33"/>
    <w:rsid w:val="0058291A"/>
    <w:rsid w:val="0058486C"/>
    <w:rsid w:val="00586EF0"/>
    <w:rsid w:val="00590118"/>
    <w:rsid w:val="00590C44"/>
    <w:rsid w:val="0059317E"/>
    <w:rsid w:val="005A4265"/>
    <w:rsid w:val="005A77D5"/>
    <w:rsid w:val="005B70B0"/>
    <w:rsid w:val="005B73CE"/>
    <w:rsid w:val="005B792B"/>
    <w:rsid w:val="005B7CC5"/>
    <w:rsid w:val="005C1497"/>
    <w:rsid w:val="005C2568"/>
    <w:rsid w:val="005C2BC7"/>
    <w:rsid w:val="005C6E6D"/>
    <w:rsid w:val="005D4FC4"/>
    <w:rsid w:val="005D5C03"/>
    <w:rsid w:val="005D7A22"/>
    <w:rsid w:val="005E1B3B"/>
    <w:rsid w:val="005E77F4"/>
    <w:rsid w:val="005F08A0"/>
    <w:rsid w:val="005F09C7"/>
    <w:rsid w:val="005F1A4A"/>
    <w:rsid w:val="005F5CFB"/>
    <w:rsid w:val="005F68D2"/>
    <w:rsid w:val="00607182"/>
    <w:rsid w:val="00607541"/>
    <w:rsid w:val="006111C0"/>
    <w:rsid w:val="0061135A"/>
    <w:rsid w:val="006136A8"/>
    <w:rsid w:val="006213D9"/>
    <w:rsid w:val="00624472"/>
    <w:rsid w:val="00626CAA"/>
    <w:rsid w:val="00627EF1"/>
    <w:rsid w:val="00630EE8"/>
    <w:rsid w:val="006320BB"/>
    <w:rsid w:val="0063310B"/>
    <w:rsid w:val="00633F60"/>
    <w:rsid w:val="0063572A"/>
    <w:rsid w:val="00637347"/>
    <w:rsid w:val="00640947"/>
    <w:rsid w:val="006414B2"/>
    <w:rsid w:val="00644E65"/>
    <w:rsid w:val="00645927"/>
    <w:rsid w:val="006461AC"/>
    <w:rsid w:val="006465B3"/>
    <w:rsid w:val="00652FF3"/>
    <w:rsid w:val="006530A8"/>
    <w:rsid w:val="006572BE"/>
    <w:rsid w:val="0065741B"/>
    <w:rsid w:val="006574A9"/>
    <w:rsid w:val="006577A3"/>
    <w:rsid w:val="00660A98"/>
    <w:rsid w:val="0066320F"/>
    <w:rsid w:val="006640D9"/>
    <w:rsid w:val="00672A51"/>
    <w:rsid w:val="00672D46"/>
    <w:rsid w:val="00673E91"/>
    <w:rsid w:val="006830EC"/>
    <w:rsid w:val="00684295"/>
    <w:rsid w:val="006936EB"/>
    <w:rsid w:val="00694CFA"/>
    <w:rsid w:val="006A21F4"/>
    <w:rsid w:val="006A2242"/>
    <w:rsid w:val="006B0BDB"/>
    <w:rsid w:val="006B1566"/>
    <w:rsid w:val="006B6F27"/>
    <w:rsid w:val="006C47BA"/>
    <w:rsid w:val="006C51B3"/>
    <w:rsid w:val="006C6408"/>
    <w:rsid w:val="006C68EA"/>
    <w:rsid w:val="006D49E9"/>
    <w:rsid w:val="006E0F99"/>
    <w:rsid w:val="006E0FAF"/>
    <w:rsid w:val="006E10EC"/>
    <w:rsid w:val="006E21DF"/>
    <w:rsid w:val="006E41C1"/>
    <w:rsid w:val="006E6E7F"/>
    <w:rsid w:val="006E7380"/>
    <w:rsid w:val="006E7441"/>
    <w:rsid w:val="006E7E3D"/>
    <w:rsid w:val="006F2433"/>
    <w:rsid w:val="006F6C32"/>
    <w:rsid w:val="007112E0"/>
    <w:rsid w:val="00713B40"/>
    <w:rsid w:val="00715391"/>
    <w:rsid w:val="00715B6E"/>
    <w:rsid w:val="007169F3"/>
    <w:rsid w:val="00722A70"/>
    <w:rsid w:val="007241C6"/>
    <w:rsid w:val="0072507F"/>
    <w:rsid w:val="00726291"/>
    <w:rsid w:val="007274E8"/>
    <w:rsid w:val="007342AF"/>
    <w:rsid w:val="00736833"/>
    <w:rsid w:val="00737969"/>
    <w:rsid w:val="007406D9"/>
    <w:rsid w:val="00746B19"/>
    <w:rsid w:val="007522F3"/>
    <w:rsid w:val="00753CC2"/>
    <w:rsid w:val="00753CED"/>
    <w:rsid w:val="007552DE"/>
    <w:rsid w:val="007628DA"/>
    <w:rsid w:val="00763F99"/>
    <w:rsid w:val="00767C44"/>
    <w:rsid w:val="007729B0"/>
    <w:rsid w:val="00772E6F"/>
    <w:rsid w:val="00775D76"/>
    <w:rsid w:val="00781E9A"/>
    <w:rsid w:val="00783D43"/>
    <w:rsid w:val="00791C74"/>
    <w:rsid w:val="007925C7"/>
    <w:rsid w:val="00797E1D"/>
    <w:rsid w:val="007A028E"/>
    <w:rsid w:val="007A6269"/>
    <w:rsid w:val="007B1462"/>
    <w:rsid w:val="007B510D"/>
    <w:rsid w:val="007B68C1"/>
    <w:rsid w:val="007C21C5"/>
    <w:rsid w:val="007C317B"/>
    <w:rsid w:val="007C758F"/>
    <w:rsid w:val="007D0CBF"/>
    <w:rsid w:val="007D17DB"/>
    <w:rsid w:val="007D3D05"/>
    <w:rsid w:val="007D6D36"/>
    <w:rsid w:val="007E2431"/>
    <w:rsid w:val="007E2559"/>
    <w:rsid w:val="007E2678"/>
    <w:rsid w:val="007E4379"/>
    <w:rsid w:val="007F1209"/>
    <w:rsid w:val="007F1EEE"/>
    <w:rsid w:val="007F275D"/>
    <w:rsid w:val="007F75F2"/>
    <w:rsid w:val="00800EBC"/>
    <w:rsid w:val="00804B1D"/>
    <w:rsid w:val="0080723E"/>
    <w:rsid w:val="00814563"/>
    <w:rsid w:val="0081581C"/>
    <w:rsid w:val="008217B5"/>
    <w:rsid w:val="00824775"/>
    <w:rsid w:val="0083026C"/>
    <w:rsid w:val="00831BF4"/>
    <w:rsid w:val="00832822"/>
    <w:rsid w:val="0083390C"/>
    <w:rsid w:val="00837F29"/>
    <w:rsid w:val="00851839"/>
    <w:rsid w:val="0085219C"/>
    <w:rsid w:val="00852972"/>
    <w:rsid w:val="00853B70"/>
    <w:rsid w:val="008543E3"/>
    <w:rsid w:val="00856C18"/>
    <w:rsid w:val="00861EB8"/>
    <w:rsid w:val="00861FD7"/>
    <w:rsid w:val="00863A19"/>
    <w:rsid w:val="0086552D"/>
    <w:rsid w:val="008703B3"/>
    <w:rsid w:val="008745FC"/>
    <w:rsid w:val="00877B6A"/>
    <w:rsid w:val="0088297D"/>
    <w:rsid w:val="00883B91"/>
    <w:rsid w:val="00883E18"/>
    <w:rsid w:val="00891F47"/>
    <w:rsid w:val="00892A10"/>
    <w:rsid w:val="0089457F"/>
    <w:rsid w:val="008978BF"/>
    <w:rsid w:val="00897A4D"/>
    <w:rsid w:val="008A265C"/>
    <w:rsid w:val="008A40A8"/>
    <w:rsid w:val="008B00D2"/>
    <w:rsid w:val="008B2C9D"/>
    <w:rsid w:val="008B4603"/>
    <w:rsid w:val="008C1B8E"/>
    <w:rsid w:val="008C3290"/>
    <w:rsid w:val="008C4239"/>
    <w:rsid w:val="008C7BEC"/>
    <w:rsid w:val="008E0456"/>
    <w:rsid w:val="008E09A1"/>
    <w:rsid w:val="008E4E23"/>
    <w:rsid w:val="008F0C5F"/>
    <w:rsid w:val="008F1072"/>
    <w:rsid w:val="008F3EEF"/>
    <w:rsid w:val="008F60A2"/>
    <w:rsid w:val="0090374B"/>
    <w:rsid w:val="00904A06"/>
    <w:rsid w:val="00915AD7"/>
    <w:rsid w:val="00915E55"/>
    <w:rsid w:val="00921972"/>
    <w:rsid w:val="00923D14"/>
    <w:rsid w:val="009247B6"/>
    <w:rsid w:val="009271FE"/>
    <w:rsid w:val="00930369"/>
    <w:rsid w:val="009361CF"/>
    <w:rsid w:val="00943758"/>
    <w:rsid w:val="00944D93"/>
    <w:rsid w:val="009457BD"/>
    <w:rsid w:val="0094625C"/>
    <w:rsid w:val="00950D9E"/>
    <w:rsid w:val="00951987"/>
    <w:rsid w:val="009556F4"/>
    <w:rsid w:val="00955BDE"/>
    <w:rsid w:val="00957C3D"/>
    <w:rsid w:val="00962EBF"/>
    <w:rsid w:val="00964537"/>
    <w:rsid w:val="00967068"/>
    <w:rsid w:val="00972E6B"/>
    <w:rsid w:val="009751CB"/>
    <w:rsid w:val="0098307D"/>
    <w:rsid w:val="00993E5B"/>
    <w:rsid w:val="00997B1C"/>
    <w:rsid w:val="00997ECD"/>
    <w:rsid w:val="009A092C"/>
    <w:rsid w:val="009A0FA7"/>
    <w:rsid w:val="009A2DE2"/>
    <w:rsid w:val="009A599F"/>
    <w:rsid w:val="009A613F"/>
    <w:rsid w:val="009A6670"/>
    <w:rsid w:val="009B248A"/>
    <w:rsid w:val="009B2D0A"/>
    <w:rsid w:val="009B5B22"/>
    <w:rsid w:val="009B5D7A"/>
    <w:rsid w:val="009B72D1"/>
    <w:rsid w:val="009B7BBD"/>
    <w:rsid w:val="009C0F08"/>
    <w:rsid w:val="009C106C"/>
    <w:rsid w:val="009C16C6"/>
    <w:rsid w:val="009C30BC"/>
    <w:rsid w:val="009C35D8"/>
    <w:rsid w:val="009C66C9"/>
    <w:rsid w:val="009D4481"/>
    <w:rsid w:val="009D5448"/>
    <w:rsid w:val="009D5A3B"/>
    <w:rsid w:val="009D759D"/>
    <w:rsid w:val="009E18F8"/>
    <w:rsid w:val="009E347E"/>
    <w:rsid w:val="009E36E9"/>
    <w:rsid w:val="009E685E"/>
    <w:rsid w:val="009E7258"/>
    <w:rsid w:val="009F132A"/>
    <w:rsid w:val="009F3A77"/>
    <w:rsid w:val="009F5098"/>
    <w:rsid w:val="009F5D72"/>
    <w:rsid w:val="009F5DE2"/>
    <w:rsid w:val="00A00FAF"/>
    <w:rsid w:val="00A04B32"/>
    <w:rsid w:val="00A05374"/>
    <w:rsid w:val="00A077C5"/>
    <w:rsid w:val="00A24AF9"/>
    <w:rsid w:val="00A2590C"/>
    <w:rsid w:val="00A315EA"/>
    <w:rsid w:val="00A31B05"/>
    <w:rsid w:val="00A373AA"/>
    <w:rsid w:val="00A40B07"/>
    <w:rsid w:val="00A42E0A"/>
    <w:rsid w:val="00A440EE"/>
    <w:rsid w:val="00A44CBB"/>
    <w:rsid w:val="00A45917"/>
    <w:rsid w:val="00A51BEF"/>
    <w:rsid w:val="00A52F46"/>
    <w:rsid w:val="00A533FC"/>
    <w:rsid w:val="00A55A77"/>
    <w:rsid w:val="00A605DA"/>
    <w:rsid w:val="00A60748"/>
    <w:rsid w:val="00A63F1E"/>
    <w:rsid w:val="00A640DD"/>
    <w:rsid w:val="00A73B34"/>
    <w:rsid w:val="00A75F4F"/>
    <w:rsid w:val="00A813F2"/>
    <w:rsid w:val="00A8198C"/>
    <w:rsid w:val="00A831CC"/>
    <w:rsid w:val="00A83444"/>
    <w:rsid w:val="00A83C0A"/>
    <w:rsid w:val="00A872FB"/>
    <w:rsid w:val="00A90F29"/>
    <w:rsid w:val="00A94D98"/>
    <w:rsid w:val="00A96ADE"/>
    <w:rsid w:val="00A9779E"/>
    <w:rsid w:val="00AA2478"/>
    <w:rsid w:val="00AA7863"/>
    <w:rsid w:val="00AB4CC4"/>
    <w:rsid w:val="00AB644C"/>
    <w:rsid w:val="00AB786F"/>
    <w:rsid w:val="00AC134A"/>
    <w:rsid w:val="00AC390F"/>
    <w:rsid w:val="00AC4F60"/>
    <w:rsid w:val="00AC53E7"/>
    <w:rsid w:val="00AC7C4D"/>
    <w:rsid w:val="00AD3890"/>
    <w:rsid w:val="00AD6CDB"/>
    <w:rsid w:val="00AD77AE"/>
    <w:rsid w:val="00AE6FDC"/>
    <w:rsid w:val="00AF2387"/>
    <w:rsid w:val="00AF5FEC"/>
    <w:rsid w:val="00AF7DA7"/>
    <w:rsid w:val="00B00F4E"/>
    <w:rsid w:val="00B0255D"/>
    <w:rsid w:val="00B02BAD"/>
    <w:rsid w:val="00B02E4C"/>
    <w:rsid w:val="00B0492F"/>
    <w:rsid w:val="00B10EA9"/>
    <w:rsid w:val="00B12080"/>
    <w:rsid w:val="00B158C7"/>
    <w:rsid w:val="00B16CB9"/>
    <w:rsid w:val="00B20568"/>
    <w:rsid w:val="00B24468"/>
    <w:rsid w:val="00B2795B"/>
    <w:rsid w:val="00B35B9E"/>
    <w:rsid w:val="00B36B42"/>
    <w:rsid w:val="00B37576"/>
    <w:rsid w:val="00B411AD"/>
    <w:rsid w:val="00B42858"/>
    <w:rsid w:val="00B4344A"/>
    <w:rsid w:val="00B43573"/>
    <w:rsid w:val="00B43AFC"/>
    <w:rsid w:val="00B47F06"/>
    <w:rsid w:val="00B52C36"/>
    <w:rsid w:val="00B54F88"/>
    <w:rsid w:val="00B6111C"/>
    <w:rsid w:val="00B61E7C"/>
    <w:rsid w:val="00B64816"/>
    <w:rsid w:val="00B7002E"/>
    <w:rsid w:val="00B70274"/>
    <w:rsid w:val="00B83E4C"/>
    <w:rsid w:val="00B9075D"/>
    <w:rsid w:val="00B9155E"/>
    <w:rsid w:val="00B941FC"/>
    <w:rsid w:val="00B95665"/>
    <w:rsid w:val="00B956D7"/>
    <w:rsid w:val="00B96571"/>
    <w:rsid w:val="00BA06CE"/>
    <w:rsid w:val="00BA1776"/>
    <w:rsid w:val="00BA7DF8"/>
    <w:rsid w:val="00BB1AF4"/>
    <w:rsid w:val="00BB2032"/>
    <w:rsid w:val="00BB2B4C"/>
    <w:rsid w:val="00BB3804"/>
    <w:rsid w:val="00BB3FEC"/>
    <w:rsid w:val="00BB5803"/>
    <w:rsid w:val="00BC02C1"/>
    <w:rsid w:val="00BC0B13"/>
    <w:rsid w:val="00BC421A"/>
    <w:rsid w:val="00BC4C62"/>
    <w:rsid w:val="00BD0726"/>
    <w:rsid w:val="00BD4DAE"/>
    <w:rsid w:val="00BD66B0"/>
    <w:rsid w:val="00BD7B17"/>
    <w:rsid w:val="00BE1BEB"/>
    <w:rsid w:val="00BE6C2C"/>
    <w:rsid w:val="00BF3EBF"/>
    <w:rsid w:val="00BF40C9"/>
    <w:rsid w:val="00BF6FD2"/>
    <w:rsid w:val="00C026C3"/>
    <w:rsid w:val="00C02F70"/>
    <w:rsid w:val="00C035BC"/>
    <w:rsid w:val="00C03B48"/>
    <w:rsid w:val="00C07A3F"/>
    <w:rsid w:val="00C10900"/>
    <w:rsid w:val="00C149C8"/>
    <w:rsid w:val="00C14CFD"/>
    <w:rsid w:val="00C15CF7"/>
    <w:rsid w:val="00C21567"/>
    <w:rsid w:val="00C30529"/>
    <w:rsid w:val="00C34F09"/>
    <w:rsid w:val="00C4077D"/>
    <w:rsid w:val="00C45D55"/>
    <w:rsid w:val="00C47AA6"/>
    <w:rsid w:val="00C501F5"/>
    <w:rsid w:val="00C53CB9"/>
    <w:rsid w:val="00C544D1"/>
    <w:rsid w:val="00C55306"/>
    <w:rsid w:val="00C55AD1"/>
    <w:rsid w:val="00C60218"/>
    <w:rsid w:val="00C6287E"/>
    <w:rsid w:val="00C64BB5"/>
    <w:rsid w:val="00C652FD"/>
    <w:rsid w:val="00C6790D"/>
    <w:rsid w:val="00C72473"/>
    <w:rsid w:val="00C72EC3"/>
    <w:rsid w:val="00C73FB9"/>
    <w:rsid w:val="00C7495E"/>
    <w:rsid w:val="00C8604B"/>
    <w:rsid w:val="00C86E87"/>
    <w:rsid w:val="00C90140"/>
    <w:rsid w:val="00C91D2C"/>
    <w:rsid w:val="00C95243"/>
    <w:rsid w:val="00CB11A2"/>
    <w:rsid w:val="00CB1261"/>
    <w:rsid w:val="00CB20D9"/>
    <w:rsid w:val="00CB26DA"/>
    <w:rsid w:val="00CB33FC"/>
    <w:rsid w:val="00CC31DD"/>
    <w:rsid w:val="00CC4E3D"/>
    <w:rsid w:val="00CC542B"/>
    <w:rsid w:val="00CC6082"/>
    <w:rsid w:val="00CD3D65"/>
    <w:rsid w:val="00CD7807"/>
    <w:rsid w:val="00CE2E4D"/>
    <w:rsid w:val="00CE3970"/>
    <w:rsid w:val="00CE40AC"/>
    <w:rsid w:val="00CE58FD"/>
    <w:rsid w:val="00CE7379"/>
    <w:rsid w:val="00CF1F35"/>
    <w:rsid w:val="00CF336B"/>
    <w:rsid w:val="00CF3A85"/>
    <w:rsid w:val="00D069B9"/>
    <w:rsid w:val="00D06C46"/>
    <w:rsid w:val="00D11CFD"/>
    <w:rsid w:val="00D11ECE"/>
    <w:rsid w:val="00D12F29"/>
    <w:rsid w:val="00D1724F"/>
    <w:rsid w:val="00D23D2D"/>
    <w:rsid w:val="00D372ED"/>
    <w:rsid w:val="00D37E29"/>
    <w:rsid w:val="00D41014"/>
    <w:rsid w:val="00D41417"/>
    <w:rsid w:val="00D429FA"/>
    <w:rsid w:val="00D45B2E"/>
    <w:rsid w:val="00D50ABA"/>
    <w:rsid w:val="00D548DD"/>
    <w:rsid w:val="00D54E11"/>
    <w:rsid w:val="00D550CC"/>
    <w:rsid w:val="00D55307"/>
    <w:rsid w:val="00D57A2C"/>
    <w:rsid w:val="00D60331"/>
    <w:rsid w:val="00D6249F"/>
    <w:rsid w:val="00D71D9C"/>
    <w:rsid w:val="00D7307F"/>
    <w:rsid w:val="00D760FC"/>
    <w:rsid w:val="00D76C46"/>
    <w:rsid w:val="00D80C43"/>
    <w:rsid w:val="00D8255B"/>
    <w:rsid w:val="00D82776"/>
    <w:rsid w:val="00D83944"/>
    <w:rsid w:val="00D83A2B"/>
    <w:rsid w:val="00D83D2E"/>
    <w:rsid w:val="00D852B8"/>
    <w:rsid w:val="00D91B9F"/>
    <w:rsid w:val="00D92019"/>
    <w:rsid w:val="00D920C1"/>
    <w:rsid w:val="00D92CC7"/>
    <w:rsid w:val="00D93303"/>
    <w:rsid w:val="00D955AB"/>
    <w:rsid w:val="00D9638A"/>
    <w:rsid w:val="00D97FB9"/>
    <w:rsid w:val="00DA10DA"/>
    <w:rsid w:val="00DA43B1"/>
    <w:rsid w:val="00DB135B"/>
    <w:rsid w:val="00DB357D"/>
    <w:rsid w:val="00DB59FD"/>
    <w:rsid w:val="00DB71F0"/>
    <w:rsid w:val="00DC78A4"/>
    <w:rsid w:val="00DD0E88"/>
    <w:rsid w:val="00DD1906"/>
    <w:rsid w:val="00DD2958"/>
    <w:rsid w:val="00DE1762"/>
    <w:rsid w:val="00DE1B8D"/>
    <w:rsid w:val="00DE2638"/>
    <w:rsid w:val="00DF09C9"/>
    <w:rsid w:val="00DF10C4"/>
    <w:rsid w:val="00DF1E7A"/>
    <w:rsid w:val="00DF35EF"/>
    <w:rsid w:val="00DF3F77"/>
    <w:rsid w:val="00DF7376"/>
    <w:rsid w:val="00E01228"/>
    <w:rsid w:val="00E0168B"/>
    <w:rsid w:val="00E0308C"/>
    <w:rsid w:val="00E04F75"/>
    <w:rsid w:val="00E07E3B"/>
    <w:rsid w:val="00E100F6"/>
    <w:rsid w:val="00E110BB"/>
    <w:rsid w:val="00E148B2"/>
    <w:rsid w:val="00E17943"/>
    <w:rsid w:val="00E17EB2"/>
    <w:rsid w:val="00E22667"/>
    <w:rsid w:val="00E2394A"/>
    <w:rsid w:val="00E24302"/>
    <w:rsid w:val="00E26C11"/>
    <w:rsid w:val="00E31CF4"/>
    <w:rsid w:val="00E336DA"/>
    <w:rsid w:val="00E33AF9"/>
    <w:rsid w:val="00E353CE"/>
    <w:rsid w:val="00E3605F"/>
    <w:rsid w:val="00E42291"/>
    <w:rsid w:val="00E43B8C"/>
    <w:rsid w:val="00E5002A"/>
    <w:rsid w:val="00E525DF"/>
    <w:rsid w:val="00E54BCC"/>
    <w:rsid w:val="00E559B5"/>
    <w:rsid w:val="00E56D74"/>
    <w:rsid w:val="00E6045F"/>
    <w:rsid w:val="00E6092E"/>
    <w:rsid w:val="00E72654"/>
    <w:rsid w:val="00E72C0B"/>
    <w:rsid w:val="00E73597"/>
    <w:rsid w:val="00E753C7"/>
    <w:rsid w:val="00E7685E"/>
    <w:rsid w:val="00E84041"/>
    <w:rsid w:val="00E852F7"/>
    <w:rsid w:val="00E86216"/>
    <w:rsid w:val="00E90811"/>
    <w:rsid w:val="00E94411"/>
    <w:rsid w:val="00E964B9"/>
    <w:rsid w:val="00E9770E"/>
    <w:rsid w:val="00EA0254"/>
    <w:rsid w:val="00EA6729"/>
    <w:rsid w:val="00EB115D"/>
    <w:rsid w:val="00EB146A"/>
    <w:rsid w:val="00EB46FF"/>
    <w:rsid w:val="00EC14EE"/>
    <w:rsid w:val="00EC21BD"/>
    <w:rsid w:val="00ED0273"/>
    <w:rsid w:val="00ED178A"/>
    <w:rsid w:val="00ED2D04"/>
    <w:rsid w:val="00ED2F65"/>
    <w:rsid w:val="00ED34E1"/>
    <w:rsid w:val="00ED374E"/>
    <w:rsid w:val="00EE162A"/>
    <w:rsid w:val="00EE37EB"/>
    <w:rsid w:val="00EE5893"/>
    <w:rsid w:val="00EF0732"/>
    <w:rsid w:val="00EF0792"/>
    <w:rsid w:val="00EF2E7F"/>
    <w:rsid w:val="00F01856"/>
    <w:rsid w:val="00F02CA6"/>
    <w:rsid w:val="00F061C8"/>
    <w:rsid w:val="00F133DE"/>
    <w:rsid w:val="00F13572"/>
    <w:rsid w:val="00F14702"/>
    <w:rsid w:val="00F14A9F"/>
    <w:rsid w:val="00F21C27"/>
    <w:rsid w:val="00F22B8F"/>
    <w:rsid w:val="00F23CC5"/>
    <w:rsid w:val="00F243BD"/>
    <w:rsid w:val="00F26446"/>
    <w:rsid w:val="00F278B9"/>
    <w:rsid w:val="00F3261B"/>
    <w:rsid w:val="00F349B3"/>
    <w:rsid w:val="00F35DCE"/>
    <w:rsid w:val="00F36238"/>
    <w:rsid w:val="00F41290"/>
    <w:rsid w:val="00F555BD"/>
    <w:rsid w:val="00F56691"/>
    <w:rsid w:val="00F57F21"/>
    <w:rsid w:val="00F6746A"/>
    <w:rsid w:val="00F70BA3"/>
    <w:rsid w:val="00F72498"/>
    <w:rsid w:val="00F733E0"/>
    <w:rsid w:val="00F75098"/>
    <w:rsid w:val="00F76EC5"/>
    <w:rsid w:val="00F77F11"/>
    <w:rsid w:val="00F83CA7"/>
    <w:rsid w:val="00F84220"/>
    <w:rsid w:val="00F845D9"/>
    <w:rsid w:val="00F904BF"/>
    <w:rsid w:val="00F92513"/>
    <w:rsid w:val="00F92CBE"/>
    <w:rsid w:val="00F947A7"/>
    <w:rsid w:val="00F956DD"/>
    <w:rsid w:val="00F9585A"/>
    <w:rsid w:val="00F960FA"/>
    <w:rsid w:val="00F96524"/>
    <w:rsid w:val="00FA40C4"/>
    <w:rsid w:val="00FA4E76"/>
    <w:rsid w:val="00FB054C"/>
    <w:rsid w:val="00FB211D"/>
    <w:rsid w:val="00FB2D78"/>
    <w:rsid w:val="00FB3789"/>
    <w:rsid w:val="00FB4318"/>
    <w:rsid w:val="00FC330B"/>
    <w:rsid w:val="00FC4849"/>
    <w:rsid w:val="00FC5A8F"/>
    <w:rsid w:val="00FC5FF1"/>
    <w:rsid w:val="00FC76CE"/>
    <w:rsid w:val="00FC775A"/>
    <w:rsid w:val="00FD2C45"/>
    <w:rsid w:val="00FD3424"/>
    <w:rsid w:val="00FD38FB"/>
    <w:rsid w:val="00FD44B0"/>
    <w:rsid w:val="00FD4DEF"/>
    <w:rsid w:val="00FD72F5"/>
    <w:rsid w:val="00FE29FD"/>
    <w:rsid w:val="00FE4832"/>
    <w:rsid w:val="00FF1F97"/>
    <w:rsid w:val="00FF20AD"/>
    <w:rsid w:val="00FF3203"/>
    <w:rsid w:val="00FF6099"/>
    <w:rsid w:val="2EE80971"/>
    <w:rsid w:val="67473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10" w:after="10" w:line="360" w:lineRule="auto"/>
      <w:ind w:left="432"/>
      <w:outlineLvl w:val="0"/>
    </w:pPr>
    <w:rPr>
      <w:rFonts w:ascii="Calibri" w:hAnsi="Calibri" w:eastAsia="仿宋" w:cs="黑体"/>
      <w:b/>
      <w:bCs/>
      <w:kern w:val="44"/>
      <w:sz w:val="30"/>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30"/>
    <w:semiHidden/>
    <w:unhideWhenUsed/>
    <w:qFormat/>
    <w:uiPriority w:val="99"/>
    <w:pPr>
      <w:jc w:val="left"/>
    </w:pPr>
  </w:style>
  <w:style w:type="paragraph" w:styleId="6">
    <w:name w:val="Body Text"/>
    <w:basedOn w:val="1"/>
    <w:next w:val="1"/>
    <w:link w:val="28"/>
    <w:unhideWhenUsed/>
    <w:qFormat/>
    <w:uiPriority w:val="99"/>
    <w:rPr>
      <w:rFonts w:ascii="Calibri" w:hAnsi="Calibri" w:eastAsia="宋体" w:cs="Times New Roman"/>
      <w:szCs w:val="24"/>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annotation subject"/>
    <w:basedOn w:val="5"/>
    <w:next w:val="5"/>
    <w:link w:val="31"/>
    <w:semiHidden/>
    <w:unhideWhenUsed/>
    <w:qFormat/>
    <w:uiPriority w:val="99"/>
    <w:rPr>
      <w:b/>
      <w:bCs/>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qFormat/>
    <w:uiPriority w:val="99"/>
    <w:rPr>
      <w:sz w:val="21"/>
      <w:szCs w:val="21"/>
    </w:rPr>
  </w:style>
  <w:style w:type="character" w:customStyle="1" w:styleId="17">
    <w:name w:val="标题 1 字符"/>
    <w:basedOn w:val="14"/>
    <w:link w:val="2"/>
    <w:qFormat/>
    <w:uiPriority w:val="9"/>
    <w:rPr>
      <w:rFonts w:ascii="Calibri" w:hAnsi="Calibri" w:eastAsia="仿宋" w:cs="黑体"/>
      <w:b/>
      <w:bCs/>
      <w:kern w:val="44"/>
      <w:sz w:val="30"/>
      <w:szCs w:val="44"/>
    </w:rPr>
  </w:style>
  <w:style w:type="character" w:customStyle="1" w:styleId="18">
    <w:name w:val="标题 2 字符"/>
    <w:basedOn w:val="14"/>
    <w:link w:val="3"/>
    <w:qFormat/>
    <w:uiPriority w:val="9"/>
    <w:rPr>
      <w:rFonts w:asciiTheme="majorHAnsi" w:hAnsiTheme="majorHAnsi" w:eastAsiaTheme="majorEastAsia" w:cstheme="majorBidi"/>
      <w:b/>
      <w:bCs/>
      <w:sz w:val="32"/>
      <w:szCs w:val="32"/>
    </w:rPr>
  </w:style>
  <w:style w:type="character" w:customStyle="1" w:styleId="19">
    <w:name w:val="页眉 字符"/>
    <w:basedOn w:val="14"/>
    <w:link w:val="9"/>
    <w:qFormat/>
    <w:uiPriority w:val="99"/>
    <w:rPr>
      <w:sz w:val="18"/>
      <w:szCs w:val="18"/>
    </w:rPr>
  </w:style>
  <w:style w:type="character" w:customStyle="1" w:styleId="20">
    <w:name w:val="页脚 字符"/>
    <w:basedOn w:val="14"/>
    <w:link w:val="8"/>
    <w:qFormat/>
    <w:uiPriority w:val="99"/>
    <w:rPr>
      <w:sz w:val="18"/>
      <w:szCs w:val="18"/>
    </w:rPr>
  </w:style>
  <w:style w:type="paragraph" w:customStyle="1" w:styleId="21">
    <w:name w:val="列表段落1"/>
    <w:basedOn w:val="1"/>
    <w:link w:val="22"/>
    <w:qFormat/>
    <w:uiPriority w:val="34"/>
    <w:pPr>
      <w:ind w:firstLine="420" w:firstLineChars="200"/>
    </w:pPr>
    <w:rPr>
      <w:rFonts w:ascii="Times New Roman" w:hAnsi="Times New Roman" w:eastAsia="仿宋" w:cs="Times New Roman"/>
      <w:kern w:val="0"/>
      <w:sz w:val="32"/>
      <w:szCs w:val="20"/>
    </w:rPr>
  </w:style>
  <w:style w:type="character" w:customStyle="1" w:styleId="22">
    <w:name w:val="列表段落 字符"/>
    <w:link w:val="21"/>
    <w:qFormat/>
    <w:uiPriority w:val="34"/>
    <w:rPr>
      <w:rFonts w:ascii="Times New Roman" w:hAnsi="Times New Roman" w:eastAsia="仿宋" w:cs="Times New Roman"/>
      <w:kern w:val="0"/>
      <w:sz w:val="32"/>
      <w:szCs w:val="20"/>
    </w:rPr>
  </w:style>
  <w:style w:type="paragraph" w:customStyle="1" w:styleId="23">
    <w:name w:val="TOC 标题1"/>
    <w:basedOn w:val="2"/>
    <w:next w:val="1"/>
    <w:unhideWhenUsed/>
    <w:qFormat/>
    <w:uiPriority w:val="39"/>
    <w:pPr>
      <w:widowControl/>
      <w:spacing w:before="240" w:after="0" w:line="259" w:lineRule="auto"/>
      <w:ind w:left="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字符"/>
    <w:basedOn w:val="14"/>
    <w:link w:val="7"/>
    <w:semiHidden/>
    <w:qFormat/>
    <w:uiPriority w:val="99"/>
    <w:rPr>
      <w:sz w:val="18"/>
      <w:szCs w:val="18"/>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6">
    <w:name w:val="NormalCharacter"/>
    <w:qFormat/>
    <w:uiPriority w:val="0"/>
  </w:style>
  <w:style w:type="character" w:customStyle="1" w:styleId="27">
    <w:name w:val="标题 3 字符"/>
    <w:basedOn w:val="14"/>
    <w:link w:val="4"/>
    <w:semiHidden/>
    <w:qFormat/>
    <w:uiPriority w:val="9"/>
    <w:rPr>
      <w:b/>
      <w:bCs/>
      <w:sz w:val="32"/>
      <w:szCs w:val="32"/>
    </w:rPr>
  </w:style>
  <w:style w:type="character" w:customStyle="1" w:styleId="28">
    <w:name w:val="正文文本 字符"/>
    <w:basedOn w:val="14"/>
    <w:link w:val="6"/>
    <w:qFormat/>
    <w:uiPriority w:val="99"/>
    <w:rPr>
      <w:rFonts w:ascii="Calibri" w:hAnsi="Calibri" w:eastAsia="宋体" w:cs="Times New Roman"/>
      <w:szCs w:val="24"/>
    </w:rPr>
  </w:style>
  <w:style w:type="paragraph" w:customStyle="1" w:styleId="29">
    <w:name w:val="Char Char Char1 Char"/>
    <w:basedOn w:val="2"/>
    <w:qFormat/>
    <w:uiPriority w:val="0"/>
    <w:pPr>
      <w:snapToGrid w:val="0"/>
      <w:spacing w:before="240" w:after="240" w:line="348" w:lineRule="auto"/>
      <w:ind w:left="0"/>
    </w:pPr>
    <w:rPr>
      <w:rFonts w:eastAsia="宋体" w:cs="Times New Roman"/>
      <w:sz w:val="44"/>
    </w:rPr>
  </w:style>
  <w:style w:type="character" w:customStyle="1" w:styleId="30">
    <w:name w:val="批注文字 字符"/>
    <w:basedOn w:val="14"/>
    <w:link w:val="5"/>
    <w:semiHidden/>
    <w:qFormat/>
    <w:uiPriority w:val="99"/>
  </w:style>
  <w:style w:type="character" w:customStyle="1" w:styleId="31">
    <w:name w:val="批注主题 字符"/>
    <w:basedOn w:val="30"/>
    <w:link w:val="12"/>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9940CB-7E3E-48CD-937A-6900FE8E616E}">
  <ds:schemaRefs/>
</ds:datastoreItem>
</file>

<file path=docProps/app.xml><?xml version="1.0" encoding="utf-8"?>
<Properties xmlns="http://schemas.openxmlformats.org/officeDocument/2006/extended-properties" xmlns:vt="http://schemas.openxmlformats.org/officeDocument/2006/docPropsVTypes">
  <Template>Normal.dotm</Template>
  <Pages>8</Pages>
  <Words>345</Words>
  <Characters>1969</Characters>
  <Lines>16</Lines>
  <Paragraphs>4</Paragraphs>
  <TotalTime>4</TotalTime>
  <ScaleCrop>false</ScaleCrop>
  <LinksUpToDate>false</LinksUpToDate>
  <CharactersWithSpaces>2310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2021-08-01T05:06:00Z</dcterms:created>
  <dc:creator>微软用户</dc:creator>
  <cp:lastModifiedBy>1</cp:lastModifiedBy>
  <dcterms:modified xsi:type="dcterms:W3CDTF">2021-08-02T02:39:28Z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FF4D1E8CFD0F4AA7B468FBE7DF91DABD</vt:lpwstr>
  </property>
</Properties>
</file>