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黑体"/>
          <w:kern w:val="44"/>
          <w:sz w:val="32"/>
          <w:szCs w:val="32"/>
        </w:rPr>
      </w:pPr>
      <w:bookmarkStart w:id="0" w:name="_Hlk75614401"/>
      <w:r>
        <w:rPr>
          <w:rFonts w:hint="eastAsia" w:ascii="Times New Roman" w:hAnsi="Times New Roman" w:eastAsia="黑体" w:cs="黑体"/>
          <w:kern w:val="44"/>
          <w:sz w:val="32"/>
          <w:szCs w:val="32"/>
        </w:rPr>
        <w:t>南昌县象湖滨江片区</w:t>
      </w:r>
      <w:bookmarkEnd w:id="0"/>
      <w:r>
        <w:rPr>
          <w:rFonts w:hint="eastAsia" w:ascii="Times New Roman" w:hAnsi="Times New Roman" w:eastAsia="黑体" w:cs="黑体"/>
          <w:kern w:val="44"/>
          <w:sz w:val="32"/>
          <w:szCs w:val="32"/>
        </w:rPr>
        <w:t>土地征收成片开发方案</w:t>
      </w:r>
    </w:p>
    <w:p>
      <w:pPr>
        <w:jc w:val="center"/>
        <w:rPr>
          <w:rFonts w:ascii="Times New Roman" w:hAnsi="Times New Roman" w:eastAsia="黑体" w:cs="黑体"/>
          <w:kern w:val="44"/>
          <w:sz w:val="32"/>
          <w:szCs w:val="32"/>
        </w:rPr>
      </w:pPr>
      <w:r>
        <w:rPr>
          <w:rFonts w:hint="eastAsia" w:ascii="Times New Roman" w:hAnsi="Times New Roman" w:eastAsia="黑体" w:cs="黑体"/>
          <w:kern w:val="44"/>
          <w:sz w:val="32"/>
          <w:szCs w:val="32"/>
        </w:rPr>
        <w:t>（草案</w:t>
      </w:r>
      <w:r>
        <w:rPr>
          <w:rFonts w:ascii="Times New Roman" w:hAnsi="Times New Roman" w:eastAsia="黑体" w:cs="黑体"/>
          <w:kern w:val="44"/>
          <w:sz w:val="32"/>
          <w:szCs w:val="32"/>
        </w:rPr>
        <w:t>）</w:t>
      </w:r>
    </w:p>
    <w:p>
      <w:pPr>
        <w:jc w:val="center"/>
        <w:rPr>
          <w:rFonts w:ascii="Times New Roman" w:hAnsi="Times New Roman" w:eastAsia="黑体" w:cs="黑体"/>
          <w:kern w:val="44"/>
          <w:sz w:val="32"/>
          <w:szCs w:val="32"/>
        </w:rPr>
      </w:pPr>
    </w:p>
    <w:p>
      <w:pPr>
        <w:autoSpaceDE w:val="0"/>
        <w:autoSpaceDN w:val="0"/>
        <w:adjustRightInd w:val="0"/>
        <w:ind w:firstLine="560" w:firstLineChars="200"/>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根据新《土地管理法》、《自然资源部关于印发</w:t>
      </w:r>
      <w:r>
        <w:rPr>
          <w:rFonts w:ascii="Times New Roman" w:hAnsi="Times New Roman" w:eastAsia="仿宋_GB2312" w:cs="仿宋_GB2312"/>
          <w:kern w:val="0"/>
          <w:sz w:val="28"/>
          <w:szCs w:val="28"/>
        </w:rPr>
        <w:t>&lt;土地征收成片开发标准（试行）&gt;的通知》（自然资规〔2020〕5号）</w:t>
      </w:r>
      <w:r>
        <w:rPr>
          <w:rFonts w:hint="eastAsia" w:ascii="Times New Roman" w:hAnsi="Times New Roman" w:eastAsia="仿宋_GB2312" w:cs="仿宋_GB2312"/>
          <w:kern w:val="0"/>
          <w:sz w:val="28"/>
          <w:szCs w:val="28"/>
        </w:rPr>
        <w:t>以及《江西省人民政府办公厅关于执行土地征收成片开发标准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2021〕2号）相关规定和要求，</w:t>
      </w:r>
      <w:r>
        <w:rPr>
          <w:rFonts w:hint="eastAsia" w:ascii="Times New Roman" w:hAnsi="Times New Roman" w:eastAsia="仿宋_GB2312" w:cs="仿宋_GB2312"/>
          <w:kern w:val="0"/>
          <w:sz w:val="28"/>
          <w:szCs w:val="28"/>
        </w:rPr>
        <w:t>南昌县人民政府组织编制了《南昌县象湖滨江片区土地征收成片开发方案（2</w:t>
      </w:r>
      <w:r>
        <w:rPr>
          <w:rFonts w:ascii="Times New Roman" w:hAnsi="Times New Roman" w:eastAsia="仿宋_GB2312" w:cs="仿宋_GB2312"/>
          <w:kern w:val="0"/>
          <w:sz w:val="28"/>
          <w:szCs w:val="28"/>
        </w:rPr>
        <w:t>021-2022</w:t>
      </w:r>
      <w:r>
        <w:rPr>
          <w:rFonts w:hint="eastAsia" w:ascii="Times New Roman" w:hAnsi="Times New Roman" w:eastAsia="仿宋_GB2312" w:cs="仿宋_GB2312"/>
          <w:kern w:val="0"/>
          <w:sz w:val="28"/>
          <w:szCs w:val="28"/>
        </w:rPr>
        <w:t>年）》。</w:t>
      </w:r>
    </w:p>
    <w:p>
      <w:pPr>
        <w:pStyle w:val="2"/>
        <w:spacing w:line="240" w:lineRule="auto"/>
        <w:ind w:left="0" w:firstLine="640" w:firstLineChars="200"/>
        <w:rPr>
          <w:rFonts w:ascii="Times New Roman" w:hAnsi="Times New Roman" w:eastAsia="黑体"/>
          <w:b w:val="0"/>
          <w:bCs w:val="0"/>
          <w:sz w:val="32"/>
          <w:szCs w:val="32"/>
        </w:rPr>
      </w:pPr>
      <w:r>
        <w:rPr>
          <w:rFonts w:hint="eastAsia" w:ascii="Times New Roman" w:hAnsi="Times New Roman" w:eastAsia="黑体"/>
          <w:b w:val="0"/>
          <w:bCs w:val="0"/>
          <w:sz w:val="32"/>
          <w:szCs w:val="32"/>
        </w:rPr>
        <w:t>一、编制依据</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仿宋_GB2312"/>
          <w:kern w:val="0"/>
          <w:sz w:val="28"/>
          <w:szCs w:val="28"/>
          <w:lang w:val="en-US" w:eastAsia="zh-CN"/>
        </w:rPr>
        <w:t>1、</w:t>
      </w:r>
      <w:r>
        <w:rPr>
          <w:rFonts w:hint="eastAsia" w:ascii="Times New Roman" w:hAnsi="Times New Roman" w:eastAsia="仿宋_GB2312" w:cs="Times New Roman"/>
          <w:sz w:val="28"/>
          <w:szCs w:val="28"/>
        </w:rPr>
        <w:t>《自然资源部关于印发&lt;土地征收成片开发标准（试行）&gt;的通知》（自然资规〔2020〕5号）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Times New Roman" w:hAnsi="Times New Roman" w:eastAsia="仿宋_GB2312" w:cs="仿宋_GB2312"/>
          <w:kern w:val="0"/>
          <w:sz w:val="28"/>
          <w:szCs w:val="28"/>
          <w:lang w:eastAsia="zh-CN"/>
        </w:rPr>
      </w:pPr>
      <w:r>
        <w:rPr>
          <w:rFonts w:hint="eastAsia" w:ascii="Times New Roman" w:hAnsi="Times New Roman" w:eastAsia="仿宋_GB2312" w:cs="Times New Roman"/>
          <w:sz w:val="28"/>
          <w:szCs w:val="28"/>
          <w:lang w:val="en-US" w:eastAsia="zh-CN"/>
        </w:rPr>
        <w:t>2、</w:t>
      </w:r>
      <w:r>
        <w:rPr>
          <w:rFonts w:hint="eastAsia" w:ascii="Times New Roman" w:hAnsi="Times New Roman" w:eastAsia="仿宋_GB2312" w:cs="仿宋_GB2312"/>
          <w:kern w:val="0"/>
          <w:sz w:val="28"/>
          <w:szCs w:val="28"/>
        </w:rPr>
        <w:t>《江西省人民政府办公厅关于执行土地征收成片开发标准</w:t>
      </w:r>
      <w:r>
        <w:rPr>
          <w:rFonts w:ascii="Times New Roman" w:hAnsi="Times New Roman" w:eastAsia="仿宋_GB2312" w:cs="仿宋_GB2312"/>
          <w:kern w:val="0"/>
          <w:sz w:val="28"/>
          <w:szCs w:val="28"/>
        </w:rPr>
        <w:t>(试行)的指导意见</w:t>
      </w:r>
      <w:r>
        <w:rPr>
          <w:rFonts w:hint="eastAsia" w:ascii="Times New Roman" w:hAnsi="Times New Roman" w:eastAsia="仿宋_GB2312" w:cs="仿宋_GB2312"/>
          <w:kern w:val="0"/>
          <w:sz w:val="28"/>
          <w:szCs w:val="28"/>
        </w:rPr>
        <w:t>》（赣府厅发〔</w:t>
      </w:r>
      <w:r>
        <w:rPr>
          <w:rFonts w:ascii="Times New Roman" w:hAnsi="Times New Roman" w:eastAsia="仿宋_GB2312" w:cs="仿宋_GB2312"/>
          <w:kern w:val="0"/>
          <w:sz w:val="28"/>
          <w:szCs w:val="28"/>
        </w:rPr>
        <w:t>2021〕2号）</w:t>
      </w:r>
      <w:r>
        <w:rPr>
          <w:rFonts w:hint="eastAsia" w:ascii="Times New Roman" w:hAnsi="Times New Roman" w:eastAsia="仿宋_GB2312" w:cs="仿宋_GB2312"/>
          <w:kern w:val="0"/>
          <w:sz w:val="28"/>
          <w:szCs w:val="28"/>
          <w:lang w:eastAsia="zh-CN"/>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仿宋_GB2312"/>
          <w:kern w:val="0"/>
          <w:sz w:val="28"/>
          <w:szCs w:val="28"/>
          <w:lang w:val="en-US" w:eastAsia="zh-CN"/>
        </w:rPr>
        <w:t>3、</w:t>
      </w:r>
      <w:r>
        <w:rPr>
          <w:rFonts w:hint="eastAsia" w:ascii="Times New Roman" w:hAnsi="Times New Roman" w:eastAsia="仿宋_GB2312" w:cs="仿宋_GB2312"/>
          <w:sz w:val="28"/>
          <w:szCs w:val="28"/>
        </w:rPr>
        <w:t>《江西省自然资源厅办公室关于印发土地征收成片开发方案审批指南（试行）的通知》（赣自然资办发〔</w:t>
      </w:r>
      <w:r>
        <w:rPr>
          <w:rFonts w:ascii="Times New Roman" w:hAnsi="Times New Roman" w:eastAsia="仿宋_GB2312" w:cs="仿宋_GB2312"/>
          <w:sz w:val="28"/>
          <w:szCs w:val="28"/>
        </w:rPr>
        <w:t>2021</w:t>
      </w:r>
      <w:r>
        <w:rPr>
          <w:rFonts w:hint="eastAsia" w:ascii="Times New Roman" w:hAnsi="Times New Roman" w:eastAsia="仿宋_GB2312" w:cs="仿宋_GB2312"/>
          <w:sz w:val="28"/>
          <w:szCs w:val="28"/>
        </w:rPr>
        <w:t>〕</w:t>
      </w:r>
      <w:r>
        <w:rPr>
          <w:rFonts w:ascii="Times New Roman" w:hAnsi="Times New Roman" w:eastAsia="仿宋_GB2312" w:cs="仿宋_GB2312"/>
          <w:sz w:val="28"/>
          <w:szCs w:val="28"/>
        </w:rPr>
        <w:t>30</w:t>
      </w:r>
      <w:r>
        <w:rPr>
          <w:rFonts w:hint="eastAsia" w:ascii="Times New Roman" w:hAnsi="Times New Roman" w:eastAsia="仿宋_GB2312" w:cs="仿宋_GB2312"/>
          <w:sz w:val="28"/>
          <w:szCs w:val="28"/>
        </w:rPr>
        <w:t>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4、</w:t>
      </w:r>
      <w:r>
        <w:rPr>
          <w:rFonts w:hint="eastAsia" w:ascii="Times New Roman" w:hAnsi="Times New Roman" w:eastAsia="仿宋_GB2312" w:cs="Times New Roman"/>
          <w:sz w:val="28"/>
          <w:szCs w:val="28"/>
        </w:rPr>
        <w:t>《南昌市自然资源局关于印发土地征收成片开发方案审查办理指南（试行）的通知》（洪自然资办字〔</w:t>
      </w:r>
      <w:r>
        <w:rPr>
          <w:rFonts w:ascii="Times New Roman" w:hAnsi="Times New Roman" w:eastAsia="仿宋_GB2312" w:cs="Times New Roman"/>
          <w:sz w:val="28"/>
          <w:szCs w:val="28"/>
        </w:rPr>
        <w:t>2021〕98号）</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sz w:val="28"/>
          <w:szCs w:val="28"/>
          <w:lang w:val="en-US" w:eastAsia="zh-CN"/>
        </w:rPr>
        <w:t>5、</w:t>
      </w:r>
      <w:r>
        <w:rPr>
          <w:rFonts w:hint="eastAsia" w:ascii="仿宋_GB2312" w:hAnsi="Times New Roman" w:eastAsia="仿宋_GB2312"/>
          <w:color w:val="000000" w:themeColor="text1"/>
          <w:sz w:val="28"/>
          <w:szCs w:val="28"/>
          <w14:textFill>
            <w14:solidFill>
              <w14:schemeClr w14:val="tx1"/>
            </w14:solidFill>
          </w14:textFill>
        </w:rPr>
        <w:t>《</w:t>
      </w:r>
      <w:bookmarkStart w:id="1" w:name="_Hlk75867041"/>
      <w:r>
        <w:rPr>
          <w:rFonts w:hint="eastAsia" w:ascii="仿宋_GB2312" w:hAnsi="Times New Roman" w:eastAsia="仿宋_GB2312"/>
          <w:color w:val="000000" w:themeColor="text1"/>
          <w:sz w:val="28"/>
          <w:szCs w:val="28"/>
          <w14:textFill>
            <w14:solidFill>
              <w14:schemeClr w14:val="tx1"/>
            </w14:solidFill>
          </w14:textFill>
        </w:rPr>
        <w:t>南昌县（小蓝经开区）国民经济和社会发展第十四个五年规划和二</w:t>
      </w:r>
      <w:r>
        <w:rPr>
          <w:rFonts w:hint="eastAsia" w:ascii="微软雅黑" w:hAnsi="微软雅黑" w:eastAsia="微软雅黑" w:cs="微软雅黑"/>
          <w:color w:val="000000" w:themeColor="text1"/>
          <w:sz w:val="28"/>
          <w:szCs w:val="28"/>
          <w14:textFill>
            <w14:solidFill>
              <w14:schemeClr w14:val="tx1"/>
            </w14:solidFill>
          </w14:textFill>
        </w:rPr>
        <w:t>〇</w:t>
      </w:r>
      <w:r>
        <w:rPr>
          <w:rFonts w:hint="eastAsia" w:ascii="仿宋_GB2312" w:hAnsi="仿宋_GB2312" w:eastAsia="仿宋_GB2312" w:cs="仿宋_GB2312"/>
          <w:color w:val="000000" w:themeColor="text1"/>
          <w:sz w:val="28"/>
          <w:szCs w:val="28"/>
          <w14:textFill>
            <w14:solidFill>
              <w14:schemeClr w14:val="tx1"/>
            </w14:solidFill>
          </w14:textFill>
        </w:rPr>
        <w:t>三五年远景目标纲要</w:t>
      </w:r>
      <w:bookmarkEnd w:id="1"/>
      <w:r>
        <w:rPr>
          <w:rFonts w:hint="eastAsia"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lang w:eastAsia="zh-CN"/>
          <w14:textFill>
            <w14:solidFill>
              <w14:schemeClr w14:val="tx1"/>
            </w14:solidFill>
          </w14:textFill>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仿宋_GB2312" w:hAnsi="Times New Roman" w:eastAsia="仿宋_GB2312"/>
          <w:color w:val="000000" w:themeColor="text1"/>
          <w:sz w:val="28"/>
          <w:szCs w:val="28"/>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14:textFill>
            <w14:solidFill>
              <w14:schemeClr w14:val="tx1"/>
            </w14:solidFill>
          </w14:textFill>
        </w:rPr>
        <w:t>《南昌县</w:t>
      </w:r>
      <w:r>
        <w:rPr>
          <w:rFonts w:ascii="仿宋_GB2312" w:hAnsi="仿宋_GB2312" w:eastAsia="仿宋_GB2312" w:cs="仿宋_GB2312"/>
          <w:color w:val="000000" w:themeColor="text1"/>
          <w:sz w:val="28"/>
          <w:szCs w:val="28"/>
          <w14:textFill>
            <w14:solidFill>
              <w14:schemeClr w14:val="tx1"/>
            </w14:solidFill>
          </w14:textFill>
        </w:rPr>
        <w:t>2020年国民经济和社会发展计划执行情况及2021年国民经济和社会发展计划</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val="en-US" w:eastAsia="zh-CN"/>
        </w:rPr>
        <w:t>7、</w:t>
      </w:r>
      <w:r>
        <w:rPr>
          <w:rFonts w:hint="eastAsia" w:ascii="Times New Roman" w:hAnsi="Times New Roman" w:eastAsia="仿宋_GB2312" w:cs="Times New Roman"/>
          <w:sz w:val="28"/>
          <w:szCs w:val="28"/>
        </w:rPr>
        <w:t>《南昌县土地利用总体规划（</w:t>
      </w:r>
      <w:r>
        <w:rPr>
          <w:rFonts w:ascii="Times New Roman" w:hAnsi="Times New Roman" w:eastAsia="仿宋_GB2312" w:cs="Times New Roman"/>
          <w:sz w:val="28"/>
          <w:szCs w:val="28"/>
        </w:rPr>
        <w:t>2006-2020年）</w:t>
      </w:r>
      <w:r>
        <w:rPr>
          <w:rFonts w:hint="eastAsia" w:ascii="Times New Roman" w:hAnsi="Times New Roman" w:eastAsia="仿宋_GB2312" w:cs="Times New Roman"/>
          <w:sz w:val="28"/>
          <w:szCs w:val="28"/>
        </w:rPr>
        <w:t>延续方案》</w:t>
      </w:r>
      <w:r>
        <w:rPr>
          <w:rFonts w:hint="eastAsia" w:ascii="Times New Roman" w:hAnsi="Times New Roman" w:eastAsia="仿宋_GB2312" w:cs="Times New Roman"/>
          <w:sz w:val="28"/>
          <w:szCs w:val="28"/>
          <w:lang w:eastAsia="zh-CN"/>
        </w:rPr>
        <w:t>；</w:t>
      </w:r>
    </w:p>
    <w:p>
      <w:pPr>
        <w:autoSpaceDE w:val="0"/>
        <w:autoSpaceDN w:val="0"/>
        <w:adjustRightInd w:val="0"/>
        <w:ind w:firstLine="560" w:firstLineChars="200"/>
        <w:rPr>
          <w:rFonts w:hint="eastAsia" w:ascii="仿宋_GB2312" w:hAnsi="Times New Roman" w:eastAsia="仿宋_GB2312"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sz w:val="28"/>
          <w:szCs w:val="28"/>
          <w:lang w:val="en-US" w:eastAsia="zh-CN"/>
        </w:rPr>
        <w:t>8、</w:t>
      </w:r>
      <w:r>
        <w:rPr>
          <w:rFonts w:hint="eastAsia" w:ascii="仿宋_GB2312" w:hAnsi="Times New Roman" w:eastAsia="仿宋_GB2312" w:cs="Times New Roman"/>
          <w:color w:val="000000" w:themeColor="text1"/>
          <w:sz w:val="28"/>
          <w:szCs w:val="28"/>
          <w14:textFill>
            <w14:solidFill>
              <w14:schemeClr w14:val="tx1"/>
            </w14:solidFill>
          </w14:textFill>
        </w:rPr>
        <w:t>《南昌县城市总体规划（2011-2030）》</w:t>
      </w: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w:t>
      </w:r>
    </w:p>
    <w:p>
      <w:pPr>
        <w:autoSpaceDE w:val="0"/>
        <w:autoSpaceDN w:val="0"/>
        <w:adjustRightInd w:val="0"/>
        <w:ind w:firstLine="560" w:firstLineChars="200"/>
        <w:rPr>
          <w:rFonts w:ascii="Times New Roman" w:hAnsi="Times New Roman" w:eastAsia="仿宋_GB2312" w:cs="仿宋_GB2312"/>
          <w:kern w:val="0"/>
          <w:sz w:val="28"/>
          <w:szCs w:val="28"/>
        </w:rPr>
      </w:pPr>
      <w:r>
        <w:rPr>
          <w:rFonts w:hint="eastAsia" w:ascii="仿宋_GB2312" w:hAnsi="Times New Roman" w:eastAsia="仿宋_GB2312" w:cs="Times New Roman"/>
          <w:color w:val="000000" w:themeColor="text1"/>
          <w:sz w:val="28"/>
          <w:szCs w:val="28"/>
          <w:lang w:val="en-US" w:eastAsia="zh-CN"/>
          <w14:textFill>
            <w14:solidFill>
              <w14:schemeClr w14:val="tx1"/>
            </w14:solidFill>
          </w14:textFill>
        </w:rPr>
        <w:t>9、</w:t>
      </w:r>
      <w:bookmarkStart w:id="11" w:name="_GoBack"/>
      <w:bookmarkEnd w:id="11"/>
      <w:r>
        <w:rPr>
          <w:rFonts w:hint="eastAsia" w:ascii="Times New Roman" w:hAnsi="Times New Roman" w:eastAsia="仿宋_GB2312" w:cs="Times New Roman"/>
          <w:sz w:val="28"/>
          <w:szCs w:val="28"/>
        </w:rPr>
        <w:t>《南昌县昌南新城沿江南组团控制性详细规划（调整）</w:t>
      </w:r>
      <w:r>
        <w:rPr>
          <w:rFonts w:ascii="Times New Roman" w:hAnsi="Times New Roman" w:eastAsia="仿宋_GB2312" w:cs="Times New Roman"/>
          <w:sz w:val="28"/>
          <w:szCs w:val="28"/>
        </w:rPr>
        <w:t>》</w:t>
      </w:r>
      <w:r>
        <w:rPr>
          <w:rFonts w:hint="eastAsia" w:ascii="Times New Roman" w:hAnsi="Times New Roman" w:eastAsia="仿宋_GB2312" w:cs="仿宋_GB2312"/>
          <w:kern w:val="0"/>
          <w:sz w:val="28"/>
          <w:szCs w:val="28"/>
        </w:rPr>
        <w:t>。</w:t>
      </w:r>
    </w:p>
    <w:p>
      <w:pPr>
        <w:pStyle w:val="2"/>
        <w:spacing w:line="240" w:lineRule="auto"/>
        <w:ind w:left="0" w:firstLine="640" w:firstLineChars="200"/>
        <w:rPr>
          <w:rFonts w:ascii="Times New Roman" w:hAnsi="Times New Roman" w:eastAsia="黑体"/>
          <w:b w:val="0"/>
          <w:bCs w:val="0"/>
          <w:sz w:val="32"/>
          <w:szCs w:val="32"/>
        </w:rPr>
      </w:pPr>
      <w:bookmarkStart w:id="2" w:name="_Toc69736442"/>
      <w:r>
        <w:rPr>
          <w:rFonts w:hint="eastAsia" w:ascii="Times New Roman" w:hAnsi="Times New Roman" w:eastAsia="黑体"/>
          <w:b w:val="0"/>
          <w:bCs w:val="0"/>
          <w:sz w:val="32"/>
          <w:szCs w:val="32"/>
        </w:rPr>
        <w:t>二、基本情况</w:t>
      </w:r>
      <w:bookmarkEnd w:id="2"/>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Times New Roman"/>
          <w:sz w:val="28"/>
          <w:szCs w:val="28"/>
        </w:rPr>
        <w:t>本成片开发方案编制范围位于南昌县中心城区，西邻赣江，东靠抚河故道，西至沿江南大道，南至富山大道。总面积</w:t>
      </w:r>
      <w:bookmarkStart w:id="3" w:name="_Hlk77513476"/>
      <w:r>
        <w:rPr>
          <w:rFonts w:hint="eastAsia" w:ascii="Times New Roman" w:hAnsi="Times New Roman" w:eastAsia="仿宋_GB2312" w:cs="Times New Roman"/>
          <w:sz w:val="28"/>
          <w:szCs w:val="28"/>
        </w:rPr>
        <w:t>242.43</w:t>
      </w:r>
      <w:r>
        <w:rPr>
          <w:rFonts w:ascii="Times New Roman" w:hAnsi="Times New Roman" w:eastAsia="仿宋_GB2312" w:cs="Times New Roman"/>
          <w:sz w:val="28"/>
          <w:szCs w:val="28"/>
        </w:rPr>
        <w:t>公顷</w:t>
      </w:r>
      <w:bookmarkEnd w:id="3"/>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其中</w:t>
      </w:r>
      <w:r>
        <w:rPr>
          <w:rFonts w:ascii="Times New Roman" w:hAnsi="Times New Roman" w:eastAsia="仿宋_GB2312" w:cs="Times New Roman"/>
          <w:sz w:val="28"/>
          <w:szCs w:val="28"/>
        </w:rPr>
        <w:t>拟征收面积为</w:t>
      </w:r>
      <w:r>
        <w:rPr>
          <w:rFonts w:hint="eastAsia" w:ascii="Times New Roman" w:hAnsi="Times New Roman" w:eastAsia="仿宋_GB2312" w:cs="Times New Roman"/>
          <w:sz w:val="28"/>
          <w:szCs w:val="28"/>
        </w:rPr>
        <w:t>146.73</w:t>
      </w:r>
      <w:r>
        <w:rPr>
          <w:rFonts w:ascii="Times New Roman" w:hAnsi="Times New Roman" w:eastAsia="仿宋_GB2312" w:cs="Times New Roman"/>
          <w:sz w:val="28"/>
          <w:szCs w:val="28"/>
        </w:rPr>
        <w:t>公顷</w:t>
      </w:r>
      <w:r>
        <w:rPr>
          <w:rFonts w:hint="eastAsia" w:ascii="Times New Roman" w:hAnsi="Times New Roman" w:eastAsia="仿宋_GB2312" w:cs="Times New Roman"/>
          <w:sz w:val="28"/>
          <w:szCs w:val="28"/>
        </w:rPr>
        <w:t>。涉及</w:t>
      </w:r>
      <w:r>
        <w:rPr>
          <w:rFonts w:hint="eastAsia" w:ascii="Times New Roman" w:hAnsi="Times New Roman" w:eastAsia="仿宋_GB2312" w:cs="仿宋_GB2312"/>
          <w:sz w:val="28"/>
          <w:szCs w:val="28"/>
        </w:rPr>
        <w:t>东新乡河下村李家组、东新乡河下村文北组、东新乡河下村文南组、东新乡河下村鸦鹊组、东新乡石歧村祠北组、东新乡石歧村祠南组、东新乡石歧村沙田组、东新乡石歧村上东组、东新乡石歧村寺前组、东新乡石歧村杨巷组、富山乡清湖村曾家听下组、富山乡清湖村魏家组、河下村农民集体、石歧村农民集体、唐村村农民集体、小蓝经济开发区唐村村五组。</w:t>
      </w:r>
    </w:p>
    <w:p>
      <w:pPr>
        <w:pStyle w:val="2"/>
        <w:spacing w:line="240" w:lineRule="auto"/>
        <w:ind w:left="0" w:firstLine="640" w:firstLineChars="200"/>
        <w:rPr>
          <w:rFonts w:ascii="Times New Roman" w:hAnsi="Times New Roman" w:eastAsia="黑体"/>
          <w:b w:val="0"/>
          <w:bCs w:val="0"/>
          <w:sz w:val="32"/>
          <w:szCs w:val="32"/>
        </w:rPr>
      </w:pPr>
      <w:bookmarkStart w:id="4" w:name="_Toc69736450"/>
      <w:r>
        <w:rPr>
          <w:rFonts w:hint="eastAsia" w:ascii="Times New Roman" w:hAnsi="Times New Roman" w:eastAsia="黑体"/>
          <w:b w:val="0"/>
          <w:bCs w:val="0"/>
          <w:sz w:val="32"/>
          <w:szCs w:val="32"/>
        </w:rPr>
        <w:t>三、必要性</w:t>
      </w:r>
      <w:bookmarkEnd w:id="4"/>
    </w:p>
    <w:p>
      <w:pPr>
        <w:spacing w:line="360" w:lineRule="auto"/>
        <w:ind w:firstLine="640"/>
        <w:rPr>
          <w:rFonts w:ascii="Times New Roman" w:hAnsi="Times New Roman" w:eastAsia="仿宋_GB2312"/>
          <w:sz w:val="28"/>
          <w:szCs w:val="28"/>
        </w:rPr>
      </w:pPr>
      <w:r>
        <w:rPr>
          <w:rFonts w:hint="eastAsia" w:ascii="Times New Roman" w:hAnsi="Times New Roman" w:eastAsia="仿宋_GB2312"/>
          <w:sz w:val="28"/>
          <w:szCs w:val="28"/>
        </w:rPr>
        <w:t>象湖滨江片区以南昌大都市为依托，大力发展金融服务、总部经济，着力打造创新创业平台。科学编制土地征收成片开发方案，有利于实现区域土地综合开发、高效利用；有利于保障重点项目落地，推动城镇建设；有利于有利于塑造区域品牌，带动区域经济增长；有利于促进南昌县“一区四园一中心”发展格局。</w:t>
      </w:r>
    </w:p>
    <w:p>
      <w:pPr>
        <w:pStyle w:val="2"/>
        <w:numPr>
          <w:ilvl w:val="0"/>
          <w:numId w:val="1"/>
        </w:numPr>
        <w:spacing w:line="240" w:lineRule="auto"/>
        <w:ind w:left="0" w:firstLine="640" w:firstLineChars="200"/>
        <w:rPr>
          <w:rFonts w:ascii="Times New Roman" w:hAnsi="Times New Roman" w:eastAsia="黑体"/>
          <w:b w:val="0"/>
          <w:bCs w:val="0"/>
          <w:sz w:val="32"/>
          <w:szCs w:val="32"/>
        </w:rPr>
      </w:pPr>
      <w:bookmarkStart w:id="5" w:name="_Toc69736453"/>
      <w:r>
        <w:rPr>
          <w:rFonts w:hint="eastAsia" w:ascii="Times New Roman" w:hAnsi="Times New Roman" w:eastAsia="黑体"/>
          <w:b w:val="0"/>
          <w:bCs w:val="0"/>
          <w:sz w:val="32"/>
          <w:szCs w:val="32"/>
        </w:rPr>
        <w:t>合规性</w:t>
      </w:r>
      <w:bookmarkEnd w:id="5"/>
    </w:p>
    <w:p>
      <w:pPr>
        <w:spacing w:line="360" w:lineRule="auto"/>
        <w:ind w:firstLine="640"/>
      </w:pPr>
      <w:bookmarkStart w:id="6" w:name="_Toc69736454"/>
      <w:r>
        <w:rPr>
          <w:rFonts w:hint="eastAsia" w:ascii="Times New Roman" w:hAnsi="Times New Roman" w:eastAsia="仿宋_GB2312"/>
          <w:sz w:val="28"/>
          <w:szCs w:val="28"/>
        </w:rPr>
        <w:t>本成片开发方案符合</w:t>
      </w:r>
      <w:bookmarkEnd w:id="6"/>
      <w:r>
        <w:rPr>
          <w:rFonts w:hint="eastAsia" w:ascii="仿宋_GB2312" w:hAnsi="Times New Roman" w:eastAsia="仿宋_GB2312"/>
          <w:color w:val="000000" w:themeColor="text1"/>
          <w:sz w:val="28"/>
          <w:szCs w:val="28"/>
          <w14:textFill>
            <w14:solidFill>
              <w14:schemeClr w14:val="tx1"/>
            </w14:solidFill>
          </w14:textFill>
        </w:rPr>
        <w:t>《南昌县（小蓝经开区）国民经济和社会发展第十四个五年规划和二</w:t>
      </w:r>
      <w:r>
        <w:rPr>
          <w:rFonts w:hint="eastAsia" w:ascii="微软雅黑" w:hAnsi="微软雅黑" w:eastAsia="微软雅黑" w:cs="微软雅黑"/>
          <w:color w:val="000000" w:themeColor="text1"/>
          <w:sz w:val="28"/>
          <w:szCs w:val="28"/>
          <w14:textFill>
            <w14:solidFill>
              <w14:schemeClr w14:val="tx1"/>
            </w14:solidFill>
          </w14:textFill>
        </w:rPr>
        <w:t>〇</w:t>
      </w:r>
      <w:r>
        <w:rPr>
          <w:rFonts w:hint="eastAsia" w:ascii="仿宋_GB2312" w:hAnsi="仿宋_GB2312" w:eastAsia="仿宋_GB2312" w:cs="仿宋_GB2312"/>
          <w:color w:val="000000" w:themeColor="text1"/>
          <w:sz w:val="28"/>
          <w:szCs w:val="28"/>
          <w14:textFill>
            <w14:solidFill>
              <w14:schemeClr w14:val="tx1"/>
            </w14:solidFill>
          </w14:textFill>
        </w:rPr>
        <w:t>三五年远景目标纲要</w:t>
      </w:r>
      <w:r>
        <w:rPr>
          <w:rFonts w:hint="eastAsia" w:ascii="仿宋_GB2312" w:hAnsi="Times New Roman" w:eastAsia="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《南昌县</w:t>
      </w:r>
      <w:r>
        <w:rPr>
          <w:rFonts w:ascii="仿宋_GB2312" w:hAnsi="仿宋_GB2312" w:eastAsia="仿宋_GB2312" w:cs="仿宋_GB2312"/>
          <w:color w:val="000000" w:themeColor="text1"/>
          <w:sz w:val="28"/>
          <w:szCs w:val="28"/>
          <w14:textFill>
            <w14:solidFill>
              <w14:schemeClr w14:val="tx1"/>
            </w14:solidFill>
          </w14:textFill>
        </w:rPr>
        <w:t>2020年国民经济和社会发展计划执行情况及2021年国民经济和社会发展计划</w:t>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Times New Roman" w:hAnsi="Times New Roman" w:eastAsia="仿宋_GB2312"/>
          <w:sz w:val="28"/>
          <w:szCs w:val="28"/>
        </w:rPr>
        <w:t>，成片开发范围位于土地利用总体规划的允许建设区，位于南昌县总体规划规划区范围内，不涉及占用永久基本农田保护红线、生态保护红线，</w:t>
      </w:r>
      <w:r>
        <w:rPr>
          <w:rFonts w:hint="eastAsia" w:ascii="Times New Roman" w:hAnsi="Times New Roman" w:eastAsia="仿宋_GB2312" w:cs="仿宋_GB2312"/>
          <w:kern w:val="0"/>
          <w:sz w:val="28"/>
          <w:szCs w:val="28"/>
        </w:rPr>
        <w:t>不涉及占用自然保护地、一级保护林地、历史文化街区名镇名村等特定区域，不涉及土壤污染、疑似污染地块，成片开发范围内地质灾害为不易发，不涉及占用</w:t>
      </w:r>
      <w:r>
        <w:rPr>
          <w:rFonts w:ascii="Times New Roman" w:hAnsi="Times New Roman" w:eastAsia="仿宋_GB2312"/>
          <w:sz w:val="28"/>
        </w:rPr>
        <w:t>采矿探矿权范围</w:t>
      </w:r>
      <w:r>
        <w:rPr>
          <w:rFonts w:hint="eastAsia" w:ascii="Times New Roman" w:hAnsi="Times New Roman" w:eastAsia="仿宋_GB2312"/>
          <w:sz w:val="28"/>
        </w:rPr>
        <w:t>。</w:t>
      </w:r>
    </w:p>
    <w:p>
      <w:pPr>
        <w:pStyle w:val="2"/>
        <w:spacing w:line="240" w:lineRule="auto"/>
        <w:ind w:left="0" w:firstLine="640" w:firstLineChars="200"/>
        <w:rPr>
          <w:rFonts w:ascii="Times New Roman" w:hAnsi="Times New Roman" w:eastAsia="黑体"/>
          <w:b w:val="0"/>
          <w:bCs w:val="0"/>
          <w:sz w:val="32"/>
          <w:szCs w:val="32"/>
        </w:rPr>
      </w:pPr>
      <w:bookmarkStart w:id="7" w:name="_Toc69736458"/>
      <w:r>
        <w:rPr>
          <w:rFonts w:hint="eastAsia" w:ascii="Times New Roman" w:hAnsi="Times New Roman" w:eastAsia="黑体"/>
          <w:b w:val="0"/>
          <w:bCs w:val="0"/>
          <w:sz w:val="32"/>
          <w:szCs w:val="32"/>
        </w:rPr>
        <w:t>五、主要用途和实现功能</w:t>
      </w:r>
      <w:bookmarkEnd w:id="7"/>
    </w:p>
    <w:p>
      <w:pPr>
        <w:spacing w:line="360" w:lineRule="auto"/>
        <w:ind w:firstLine="560" w:firstLineChars="200"/>
        <w:rPr>
          <w:rFonts w:ascii="Times New Roman" w:hAnsi="Times New Roman" w:eastAsia="仿宋_GB2312"/>
          <w:sz w:val="28"/>
        </w:rPr>
      </w:pPr>
      <w:r>
        <w:rPr>
          <w:rFonts w:hint="eastAsia" w:ascii="Times New Roman" w:hAnsi="Times New Roman" w:eastAsia="仿宋_GB2312"/>
          <w:sz w:val="28"/>
        </w:rPr>
        <w:t>本成片开发方案用地总面积242.43公顷，</w:t>
      </w:r>
      <w:r>
        <w:rPr>
          <w:rFonts w:hint="eastAsia" w:ascii="仿宋_GB2312" w:eastAsia="仿宋_GB2312"/>
          <w:sz w:val="28"/>
        </w:rPr>
        <w:t>规划用途为公共服务设施用地3</w:t>
      </w:r>
      <w:r>
        <w:rPr>
          <w:rFonts w:ascii="仿宋_GB2312" w:eastAsia="仿宋_GB2312"/>
          <w:sz w:val="28"/>
        </w:rPr>
        <w:t>.04</w:t>
      </w:r>
      <w:r>
        <w:rPr>
          <w:rFonts w:hint="eastAsia" w:ascii="仿宋_GB2312" w:eastAsia="仿宋_GB2312"/>
          <w:sz w:val="28"/>
        </w:rPr>
        <w:t>公顷，占比1</w:t>
      </w:r>
      <w:r>
        <w:rPr>
          <w:rFonts w:ascii="仿宋_GB2312" w:eastAsia="仿宋_GB2312"/>
          <w:sz w:val="28"/>
        </w:rPr>
        <w:t>.25</w:t>
      </w:r>
      <w:r>
        <w:rPr>
          <w:rFonts w:hint="eastAsia" w:ascii="仿宋_GB2312" w:eastAsia="仿宋_GB2312"/>
          <w:sz w:val="28"/>
        </w:rPr>
        <w:t>%；商业服务业设施用地1</w:t>
      </w:r>
      <w:r>
        <w:rPr>
          <w:rFonts w:ascii="仿宋_GB2312" w:eastAsia="仿宋_GB2312"/>
          <w:sz w:val="28"/>
        </w:rPr>
        <w:t>6.15</w:t>
      </w:r>
      <w:r>
        <w:rPr>
          <w:rFonts w:hint="eastAsia" w:ascii="仿宋_GB2312" w:eastAsia="仿宋_GB2312"/>
          <w:sz w:val="28"/>
        </w:rPr>
        <w:t>公顷，占比6</w:t>
      </w:r>
      <w:r>
        <w:rPr>
          <w:rFonts w:ascii="仿宋_GB2312" w:eastAsia="仿宋_GB2312"/>
          <w:sz w:val="28"/>
        </w:rPr>
        <w:t>.66</w:t>
      </w:r>
      <w:r>
        <w:rPr>
          <w:rFonts w:hint="eastAsia" w:ascii="仿宋_GB2312" w:eastAsia="仿宋_GB2312"/>
          <w:sz w:val="28"/>
        </w:rPr>
        <w:t>%；居住用地</w:t>
      </w:r>
      <w:r>
        <w:rPr>
          <w:rFonts w:ascii="仿宋_GB2312" w:eastAsia="仿宋_GB2312"/>
          <w:sz w:val="28"/>
        </w:rPr>
        <w:t>115.</w:t>
      </w:r>
      <w:r>
        <w:rPr>
          <w:rFonts w:hint="eastAsia" w:ascii="仿宋_GB2312" w:eastAsia="仿宋_GB2312"/>
          <w:sz w:val="28"/>
        </w:rPr>
        <w:t>93</w:t>
      </w:r>
      <w:r>
        <w:rPr>
          <w:rFonts w:ascii="仿宋_GB2312" w:eastAsia="仿宋_GB2312"/>
          <w:sz w:val="28"/>
        </w:rPr>
        <w:t>公顷，占比为4</w:t>
      </w:r>
      <w:r>
        <w:rPr>
          <w:rFonts w:hint="eastAsia" w:ascii="仿宋_GB2312" w:eastAsia="仿宋_GB2312"/>
          <w:sz w:val="28"/>
        </w:rPr>
        <w:t>7.82</w:t>
      </w:r>
      <w:r>
        <w:rPr>
          <w:rFonts w:ascii="仿宋_GB2312" w:eastAsia="仿宋_GB2312"/>
          <w:sz w:val="28"/>
        </w:rPr>
        <w:t>%</w:t>
      </w:r>
      <w:r>
        <w:rPr>
          <w:rFonts w:hint="eastAsia" w:ascii="仿宋_GB2312" w:eastAsia="仿宋_GB2312"/>
          <w:sz w:val="28"/>
        </w:rPr>
        <w:t>；交通运输用地</w:t>
      </w:r>
      <w:r>
        <w:rPr>
          <w:rFonts w:ascii="仿宋_GB2312" w:eastAsia="仿宋_GB2312"/>
          <w:sz w:val="28"/>
        </w:rPr>
        <w:t>89.18公顷，占比为36.78%；</w:t>
      </w:r>
      <w:r>
        <w:rPr>
          <w:rFonts w:hint="eastAsia" w:ascii="仿宋_GB2312" w:eastAsia="仿宋_GB2312"/>
          <w:sz w:val="28"/>
        </w:rPr>
        <w:t>工业用地8.91公顷，占比为3.68%；公共设施用地1.6</w:t>
      </w:r>
      <w:r>
        <w:rPr>
          <w:rFonts w:ascii="仿宋_GB2312" w:eastAsia="仿宋_GB2312"/>
          <w:sz w:val="28"/>
        </w:rPr>
        <w:t>3</w:t>
      </w:r>
      <w:r>
        <w:rPr>
          <w:rFonts w:hint="eastAsia" w:ascii="仿宋_GB2312" w:eastAsia="仿宋_GB2312"/>
          <w:sz w:val="28"/>
        </w:rPr>
        <w:t>公顷，占比为0.6</w:t>
      </w:r>
      <w:r>
        <w:rPr>
          <w:rFonts w:ascii="仿宋_GB2312" w:eastAsia="仿宋_GB2312"/>
          <w:sz w:val="28"/>
        </w:rPr>
        <w:t>7</w:t>
      </w:r>
      <w:r>
        <w:rPr>
          <w:rFonts w:hint="eastAsia" w:ascii="仿宋_GB2312" w:eastAsia="仿宋_GB2312"/>
          <w:sz w:val="28"/>
        </w:rPr>
        <w:t>%；绿地与广场用地</w:t>
      </w:r>
      <w:r>
        <w:rPr>
          <w:rFonts w:ascii="仿宋_GB2312" w:eastAsia="仿宋_GB2312"/>
          <w:sz w:val="28"/>
        </w:rPr>
        <w:t>6.48</w:t>
      </w:r>
      <w:r>
        <w:rPr>
          <w:rFonts w:hint="eastAsia" w:ascii="仿宋_GB2312" w:eastAsia="仿宋_GB2312"/>
          <w:sz w:val="28"/>
        </w:rPr>
        <w:t>公顷，占比为</w:t>
      </w:r>
      <w:r>
        <w:rPr>
          <w:rFonts w:ascii="仿宋_GB2312" w:eastAsia="仿宋_GB2312"/>
          <w:sz w:val="28"/>
        </w:rPr>
        <w:t>2.67</w:t>
      </w:r>
      <w:r>
        <w:rPr>
          <w:rFonts w:hint="eastAsia" w:ascii="仿宋_GB2312" w:eastAsia="仿宋_GB2312"/>
          <w:sz w:val="28"/>
        </w:rPr>
        <w:t>%；水域和其他用地1</w:t>
      </w:r>
      <w:r>
        <w:rPr>
          <w:rFonts w:ascii="仿宋_GB2312" w:eastAsia="仿宋_GB2312"/>
          <w:sz w:val="28"/>
        </w:rPr>
        <w:t>.11</w:t>
      </w:r>
      <w:r>
        <w:rPr>
          <w:rFonts w:hint="eastAsia" w:ascii="仿宋_GB2312" w:eastAsia="仿宋_GB2312"/>
          <w:sz w:val="28"/>
        </w:rPr>
        <w:t>公顷，占比0</w:t>
      </w:r>
      <w:r>
        <w:rPr>
          <w:rFonts w:ascii="仿宋_GB2312" w:eastAsia="仿宋_GB2312"/>
          <w:sz w:val="28"/>
        </w:rPr>
        <w:t>.46</w:t>
      </w:r>
      <w:r>
        <w:rPr>
          <w:rFonts w:hint="eastAsia" w:ascii="仿宋_GB2312" w:eastAsia="仿宋_GB2312"/>
          <w:sz w:val="28"/>
        </w:rPr>
        <w:t>%</w:t>
      </w:r>
      <w:r>
        <w:rPr>
          <w:rFonts w:ascii="仿宋_GB2312" w:eastAsia="仿宋_GB2312"/>
          <w:sz w:val="28"/>
        </w:rPr>
        <w:t xml:space="preserve"> </w:t>
      </w:r>
      <w:r>
        <w:rPr>
          <w:rFonts w:hint="eastAsia" w:ascii="仿宋_GB2312" w:eastAsia="仿宋_GB2312"/>
          <w:sz w:val="28"/>
        </w:rPr>
        <w:t>。</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szCs w:val="28"/>
          <w14:textFill>
            <w14:solidFill>
              <w14:schemeClr w14:val="tx1"/>
            </w14:solidFill>
          </w14:textFill>
        </w:rPr>
        <w:t>本</w:t>
      </w:r>
      <w:r>
        <w:rPr>
          <w:rFonts w:hint="eastAsia" w:ascii="Times New Roman" w:hAnsi="Times New Roman" w:eastAsia="仿宋_GB2312"/>
          <w:color w:val="000000" w:themeColor="text1"/>
          <w:sz w:val="28"/>
          <w14:textFill>
            <w14:solidFill>
              <w14:schemeClr w14:val="tx1"/>
            </w14:solidFill>
          </w14:textFill>
        </w:rPr>
        <w:t>成片开发方案主要服务于南昌县东新乡、富山乡及</w:t>
      </w:r>
      <w:r>
        <w:rPr>
          <w:rFonts w:hint="eastAsia" w:ascii="Times New Roman" w:hAnsi="Times New Roman" w:eastAsia="仿宋_GB2312" w:cs="仿宋_GB2312"/>
          <w:sz w:val="28"/>
          <w:szCs w:val="28"/>
        </w:rPr>
        <w:t>小蓝经济开发区</w:t>
      </w:r>
      <w:r>
        <w:rPr>
          <w:rFonts w:hint="eastAsia" w:ascii="Times New Roman" w:hAnsi="Times New Roman" w:eastAsia="仿宋_GB2312"/>
          <w:color w:val="000000" w:themeColor="text1"/>
          <w:sz w:val="28"/>
          <w14:textFill>
            <w14:solidFill>
              <w14:schemeClr w14:val="tx1"/>
            </w14:solidFill>
          </w14:textFill>
        </w:rPr>
        <w:t>用地需求。</w:t>
      </w:r>
      <w:r>
        <w:rPr>
          <w:rFonts w:ascii="Times New Roman" w:hAnsi="Times New Roman" w:eastAsia="仿宋_GB2312"/>
          <w:color w:val="000000" w:themeColor="text1"/>
          <w:sz w:val="28"/>
          <w14:textFill>
            <w14:solidFill>
              <w14:schemeClr w14:val="tx1"/>
            </w14:solidFill>
          </w14:textFill>
        </w:rPr>
        <w:t>开发有利于进一步推进新型城镇化进程，</w:t>
      </w:r>
      <w:r>
        <w:rPr>
          <w:rFonts w:hint="eastAsia" w:ascii="Times New Roman" w:hAnsi="Times New Roman" w:eastAsia="仿宋_GB2312"/>
          <w:color w:val="000000" w:themeColor="text1"/>
          <w:sz w:val="28"/>
          <w14:textFill>
            <w14:solidFill>
              <w14:schemeClr w14:val="tx1"/>
            </w14:solidFill>
          </w14:textFill>
        </w:rPr>
        <w:t>实现城乡基础设施一体化和公共服务均等化，</w:t>
      </w:r>
      <w:r>
        <w:rPr>
          <w:rFonts w:ascii="Times New Roman" w:hAnsi="Times New Roman" w:eastAsia="仿宋_GB2312"/>
          <w:color w:val="000000" w:themeColor="text1"/>
          <w:sz w:val="28"/>
          <w14:textFill>
            <w14:solidFill>
              <w14:schemeClr w14:val="tx1"/>
            </w14:solidFill>
          </w14:textFill>
        </w:rPr>
        <w:t>打造成片集中</w:t>
      </w:r>
      <w:r>
        <w:rPr>
          <w:rFonts w:hint="eastAsia" w:ascii="Times New Roman" w:hAnsi="Times New Roman" w:eastAsia="仿宋_GB2312"/>
          <w:color w:val="000000" w:themeColor="text1"/>
          <w:sz w:val="28"/>
          <w14:textFill>
            <w14:solidFill>
              <w14:schemeClr w14:val="tx1"/>
            </w14:solidFill>
          </w14:textFill>
        </w:rPr>
        <w:t>居住区、</w:t>
      </w:r>
      <w:r>
        <w:rPr>
          <w:rFonts w:ascii="Times New Roman" w:hAnsi="Times New Roman" w:eastAsia="仿宋_GB2312"/>
          <w:color w:val="000000" w:themeColor="text1"/>
          <w:sz w:val="28"/>
          <w14:textFill>
            <w14:solidFill>
              <w14:schemeClr w14:val="tx1"/>
            </w14:solidFill>
          </w14:textFill>
        </w:rPr>
        <w:t>商业中心，完善公共服务，提升片区城市品质，促进经济社会发展。</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其中居住用地主要是实现集中建设，改善居民生活条件，减少分散性居民点用地，</w:t>
      </w:r>
      <w:r>
        <w:rPr>
          <w:rFonts w:ascii="Times New Roman" w:hAnsi="Times New Roman" w:eastAsia="仿宋_GB2312"/>
          <w:color w:val="000000" w:themeColor="text1"/>
          <w:sz w:val="28"/>
          <w14:textFill>
            <w14:solidFill>
              <w14:schemeClr w14:val="tx1"/>
            </w14:solidFill>
          </w14:textFill>
        </w:rPr>
        <w:t>促进片区功能调整</w:t>
      </w:r>
      <w:r>
        <w:rPr>
          <w:rFonts w:hint="eastAsia" w:ascii="Times New Roman" w:hAnsi="Times New Roman" w:eastAsia="仿宋_GB2312"/>
          <w:color w:val="000000" w:themeColor="text1"/>
          <w:sz w:val="28"/>
          <w14:textFill>
            <w14:solidFill>
              <w14:schemeClr w14:val="tx1"/>
            </w14:solidFill>
          </w14:textFill>
        </w:rPr>
        <w:t>，集约节约用地；</w:t>
      </w:r>
    </w:p>
    <w:p>
      <w:pPr>
        <w:pStyle w:val="6"/>
        <w:ind w:firstLine="560"/>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商业服务业用地</w:t>
      </w:r>
      <w:r>
        <w:rPr>
          <w:rFonts w:hint="eastAsia" w:ascii="Times New Roman" w:hAnsi="Times New Roman" w:eastAsia="仿宋_GB2312"/>
          <w:color w:val="000000" w:themeColor="text1"/>
          <w:sz w:val="28"/>
          <w14:textFill>
            <w14:solidFill>
              <w14:schemeClr w14:val="tx1"/>
            </w14:solidFill>
          </w14:textFill>
        </w:rPr>
        <w:t>主要是打造多功能、多业种、多业态的商业集合体，成为扩大内需和拉动经济发展的新引擎；</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公共设施与公共服务用地</w:t>
      </w:r>
      <w:r>
        <w:rPr>
          <w:rFonts w:ascii="Times New Roman" w:hAnsi="Times New Roman" w:eastAsia="仿宋_GB2312"/>
          <w:color w:val="000000" w:themeColor="text1"/>
          <w:sz w:val="28"/>
          <w14:textFill>
            <w14:solidFill>
              <w14:schemeClr w14:val="tx1"/>
            </w14:solidFill>
          </w14:textFill>
        </w:rPr>
        <w:t>用地</w:t>
      </w:r>
      <w:r>
        <w:rPr>
          <w:rFonts w:hint="eastAsia" w:ascii="Times New Roman" w:hAnsi="Times New Roman" w:eastAsia="仿宋_GB2312"/>
          <w:color w:val="000000" w:themeColor="text1"/>
          <w:sz w:val="28"/>
          <w14:textFill>
            <w14:solidFill>
              <w14:schemeClr w14:val="tx1"/>
            </w14:solidFill>
          </w14:textFill>
        </w:rPr>
        <w:t>主要是</w:t>
      </w:r>
      <w:r>
        <w:rPr>
          <w:rFonts w:hint="eastAsia" w:eastAsia="仿宋_GB2312"/>
          <w:sz w:val="28"/>
          <w:szCs w:val="28"/>
        </w:rPr>
        <w:t>完善周边区域配套设施布置功能，为周边社区居民提供便民利民、文化娱乐等公共场所，提高居民生活质量，增强群众幸福感</w:t>
      </w:r>
      <w:r>
        <w:rPr>
          <w:rFonts w:hint="eastAsia" w:ascii="Times New Roman" w:hAnsi="Times New Roman" w:eastAsia="仿宋_GB2312"/>
          <w:color w:val="000000" w:themeColor="text1"/>
          <w:sz w:val="28"/>
          <w14:textFill>
            <w14:solidFill>
              <w14:schemeClr w14:val="tx1"/>
            </w14:solidFill>
          </w14:textFill>
        </w:rPr>
        <w:t>；</w:t>
      </w:r>
    </w:p>
    <w:p>
      <w:pPr>
        <w:pStyle w:val="6"/>
        <w:ind w:firstLine="560"/>
        <w:rPr>
          <w:rFonts w:ascii="Times New Roman" w:hAnsi="Times New Roman" w:eastAsia="仿宋_GB2312"/>
          <w:color w:val="000000" w:themeColor="text1"/>
          <w:sz w:val="28"/>
          <w14:textFill>
            <w14:solidFill>
              <w14:schemeClr w14:val="tx1"/>
            </w14:solidFill>
          </w14:textFill>
        </w:rPr>
      </w:pPr>
      <w:r>
        <w:rPr>
          <w:rFonts w:ascii="Times New Roman" w:hAnsi="Times New Roman" w:eastAsia="仿宋_GB2312"/>
          <w:color w:val="000000" w:themeColor="text1"/>
          <w:sz w:val="28"/>
          <w14:textFill>
            <w14:solidFill>
              <w14:schemeClr w14:val="tx1"/>
            </w14:solidFill>
          </w14:textFill>
        </w:rPr>
        <w:t>交通运输用地</w:t>
      </w:r>
      <w:r>
        <w:rPr>
          <w:rFonts w:hint="eastAsia" w:ascii="Times New Roman" w:hAnsi="Times New Roman" w:eastAsia="仿宋_GB2312"/>
          <w:color w:val="000000" w:themeColor="text1"/>
          <w:sz w:val="28"/>
          <w14:textFill>
            <w14:solidFill>
              <w14:schemeClr w14:val="tx1"/>
            </w14:solidFill>
          </w14:textFill>
        </w:rPr>
        <w:t>主要是</w:t>
      </w:r>
      <w:r>
        <w:rPr>
          <w:rFonts w:ascii="Times New Roman" w:hAnsi="Times New Roman" w:eastAsia="仿宋_GB2312"/>
          <w:color w:val="000000" w:themeColor="text1"/>
          <w:sz w:val="28"/>
          <w14:textFill>
            <w14:solidFill>
              <w14:schemeClr w14:val="tx1"/>
            </w14:solidFill>
          </w14:textFill>
        </w:rPr>
        <w:t>完善道路交通设施建设功能，可为周边群众和产业园提供便利的交通通道，提高出行可达性和交通效率，促进片区功能调整，使整个区域发展环境得到改善，进而带动沿线区域经济发展</w:t>
      </w:r>
      <w:r>
        <w:rPr>
          <w:rFonts w:hint="eastAsia" w:ascii="Times New Roman" w:hAnsi="Times New Roman" w:eastAsia="仿宋_GB2312"/>
          <w:color w:val="000000" w:themeColor="text1"/>
          <w:sz w:val="28"/>
          <w14:textFill>
            <w14:solidFill>
              <w14:schemeClr w14:val="tx1"/>
            </w14:solidFill>
          </w14:textFill>
        </w:rPr>
        <w:t>；</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绿地与广场用地及水域主要是</w:t>
      </w:r>
      <w:r>
        <w:rPr>
          <w:rFonts w:ascii="Times New Roman" w:hAnsi="Times New Roman" w:eastAsia="仿宋_GB2312"/>
          <w:color w:val="000000" w:themeColor="text1"/>
          <w:sz w:val="28"/>
          <w14:textFill>
            <w14:solidFill>
              <w14:schemeClr w14:val="tx1"/>
            </w14:solidFill>
          </w14:textFill>
        </w:rPr>
        <w:t>构建公园形态与城市空间有机融合、生产生活生态空间相宜、人城境业高度和谐的空间格局</w:t>
      </w:r>
      <w:r>
        <w:rPr>
          <w:rFonts w:hint="eastAsia" w:ascii="Times New Roman" w:hAnsi="Times New Roman" w:eastAsia="仿宋_GB2312"/>
          <w:color w:val="000000" w:themeColor="text1"/>
          <w:sz w:val="28"/>
          <w14:textFill>
            <w14:solidFill>
              <w14:schemeClr w14:val="tx1"/>
            </w14:solidFill>
          </w14:textFill>
        </w:rPr>
        <w:t>，提升</w:t>
      </w:r>
      <w:r>
        <w:rPr>
          <w:rFonts w:ascii="Times New Roman" w:hAnsi="Times New Roman" w:eastAsia="仿宋_GB2312"/>
          <w:color w:val="000000" w:themeColor="text1"/>
          <w:sz w:val="28"/>
          <w14:textFill>
            <w14:solidFill>
              <w14:schemeClr w14:val="tx1"/>
            </w14:solidFill>
          </w14:textFill>
        </w:rPr>
        <w:t>居民公共空间功能。</w:t>
      </w:r>
    </w:p>
    <w:p>
      <w:pPr>
        <w:pStyle w:val="6"/>
        <w:ind w:firstLine="560"/>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t>工业用地主要是实现工业建设用地需要功能，工业是城市发展的基础，工矿用地扩张在促进工业化发展的同时，对城市化进程起着重要推动作用。</w:t>
      </w:r>
    </w:p>
    <w:p>
      <w:pPr>
        <w:pStyle w:val="2"/>
        <w:spacing w:line="240" w:lineRule="auto"/>
        <w:ind w:left="0" w:firstLine="640" w:firstLineChars="200"/>
        <w:rPr>
          <w:rFonts w:ascii="Times New Roman" w:hAnsi="Times New Roman" w:eastAsia="黑体"/>
          <w:b w:val="0"/>
          <w:bCs w:val="0"/>
          <w:sz w:val="32"/>
          <w:szCs w:val="32"/>
        </w:rPr>
      </w:pPr>
      <w:bookmarkStart w:id="8" w:name="_Toc69736462"/>
      <w:r>
        <w:rPr>
          <w:rFonts w:hint="eastAsia" w:ascii="Times New Roman" w:hAnsi="Times New Roman" w:eastAsia="黑体"/>
          <w:b w:val="0"/>
          <w:bCs w:val="0"/>
          <w:sz w:val="32"/>
          <w:szCs w:val="32"/>
        </w:rPr>
        <w:t>六、成片开发计划</w:t>
      </w:r>
      <w:bookmarkEnd w:id="8"/>
    </w:p>
    <w:p>
      <w:pPr>
        <w:ind w:firstLine="640"/>
        <w:rPr>
          <w:rFonts w:ascii="Times New Roman" w:hAnsi="Times New Roman" w:eastAsia="仿宋_GB2312" w:cs="仿宋_GB2312"/>
          <w:sz w:val="28"/>
          <w:szCs w:val="28"/>
        </w:rPr>
      </w:pPr>
      <w:r>
        <w:rPr>
          <w:rFonts w:hint="eastAsia" w:ascii="Times New Roman" w:hAnsi="Times New Roman" w:eastAsia="仿宋_GB2312" w:cs="仿宋_GB2312"/>
          <w:sz w:val="28"/>
          <w:szCs w:val="28"/>
        </w:rPr>
        <w:t>成片开发方案</w:t>
      </w:r>
      <w:r>
        <w:rPr>
          <w:rFonts w:ascii="Times New Roman" w:hAnsi="Times New Roman" w:eastAsia="仿宋_GB2312" w:cs="仿宋_GB2312"/>
          <w:sz w:val="28"/>
          <w:szCs w:val="28"/>
        </w:rPr>
        <w:t>实施期限为</w:t>
      </w:r>
      <w:r>
        <w:rPr>
          <w:rFonts w:hint="eastAsia" w:ascii="Times New Roman" w:hAnsi="Times New Roman" w:eastAsia="仿宋_GB2312" w:cs="仿宋_GB2312"/>
          <w:sz w:val="28"/>
          <w:szCs w:val="28"/>
        </w:rPr>
        <w:t>两</w:t>
      </w:r>
      <w:r>
        <w:rPr>
          <w:rFonts w:ascii="Times New Roman" w:hAnsi="Times New Roman" w:eastAsia="仿宋_GB2312" w:cs="仿宋_GB2312"/>
          <w:sz w:val="28"/>
          <w:szCs w:val="28"/>
        </w:rPr>
        <w:t>年，</w:t>
      </w:r>
      <w:r>
        <w:rPr>
          <w:rFonts w:hint="eastAsia" w:ascii="Times New Roman" w:hAnsi="Times New Roman" w:eastAsia="仿宋_GB2312" w:cs="仿宋_GB2312"/>
          <w:sz w:val="28"/>
          <w:szCs w:val="28"/>
        </w:rPr>
        <w:t>项目建设规模可行、内容有保障，采取的节约集约用地措施可行，</w:t>
      </w:r>
      <w:r>
        <w:rPr>
          <w:rFonts w:ascii="Times New Roman" w:hAnsi="Times New Roman" w:eastAsia="仿宋_GB2312" w:cs="仿宋_GB2312"/>
          <w:sz w:val="28"/>
          <w:szCs w:val="28"/>
        </w:rPr>
        <w:t>成片开发计划具备可行性。</w:t>
      </w:r>
    </w:p>
    <w:p>
      <w:pPr>
        <w:pStyle w:val="2"/>
        <w:spacing w:line="240" w:lineRule="auto"/>
        <w:ind w:left="0" w:firstLine="640" w:firstLineChars="200"/>
        <w:rPr>
          <w:rFonts w:ascii="Times New Roman" w:hAnsi="Times New Roman" w:eastAsia="黑体"/>
          <w:b w:val="0"/>
          <w:bCs w:val="0"/>
          <w:sz w:val="32"/>
          <w:szCs w:val="32"/>
        </w:rPr>
      </w:pPr>
      <w:bookmarkStart w:id="9" w:name="_Toc69736470"/>
      <w:r>
        <w:rPr>
          <w:rFonts w:hint="eastAsia" w:ascii="Times New Roman" w:hAnsi="Times New Roman" w:eastAsia="黑体"/>
          <w:b w:val="0"/>
          <w:bCs w:val="0"/>
          <w:sz w:val="32"/>
          <w:szCs w:val="32"/>
        </w:rPr>
        <w:t>七、公益性用地情况</w:t>
      </w:r>
      <w:bookmarkEnd w:id="9"/>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本片区成片开发方案中涉及公益性用地包括交通运输用地和公共设施用地，合计</w:t>
      </w:r>
      <w:r>
        <w:rPr>
          <w:rFonts w:hint="eastAsia" w:ascii="仿宋_GB2312" w:hAnsi="仿宋_GB2312" w:eastAsia="仿宋_GB2312" w:cs="仿宋_GB2312"/>
          <w:sz w:val="28"/>
          <w:szCs w:val="28"/>
        </w:rPr>
        <w:t>101.44</w:t>
      </w:r>
      <w:r>
        <w:rPr>
          <w:rFonts w:ascii="Times New Roman" w:hAnsi="Times New Roman" w:eastAsia="仿宋_GB2312" w:cs="仿宋_GB2312"/>
          <w:sz w:val="28"/>
          <w:szCs w:val="28"/>
        </w:rPr>
        <w:t>公顷，占该片区用地总面积的</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1.84</w:t>
      </w:r>
      <w:r>
        <w:rPr>
          <w:rFonts w:ascii="仿宋_GB2312" w:hAnsi="仿宋_GB2312" w:eastAsia="仿宋_GB2312" w:cs="仿宋_GB2312"/>
          <w:sz w:val="28"/>
          <w:szCs w:val="28"/>
        </w:rPr>
        <w:t>%</w:t>
      </w:r>
      <w:r>
        <w:rPr>
          <w:rFonts w:ascii="Times New Roman" w:hAnsi="Times New Roman" w:eastAsia="仿宋_GB2312" w:cs="仿宋_GB2312"/>
          <w:sz w:val="28"/>
          <w:szCs w:val="28"/>
        </w:rPr>
        <w:t>。符合赣府厅发〔2021〕2号文规定</w:t>
      </w:r>
      <w:r>
        <w:rPr>
          <w:rFonts w:hint="eastAsia" w:ascii="Times New Roman" w:hAnsi="Times New Roman" w:eastAsia="仿宋_GB2312" w:cs="仿宋_GB2312"/>
          <w:kern w:val="0"/>
          <w:sz w:val="28"/>
          <w:szCs w:val="28"/>
        </w:rPr>
        <w:t>。</w:t>
      </w:r>
    </w:p>
    <w:p>
      <w:pPr>
        <w:pStyle w:val="2"/>
        <w:spacing w:line="240" w:lineRule="auto"/>
        <w:ind w:left="0" w:firstLine="640" w:firstLineChars="200"/>
        <w:rPr>
          <w:rFonts w:ascii="Times New Roman" w:hAnsi="Times New Roman" w:eastAsia="黑体"/>
          <w:b w:val="0"/>
          <w:bCs w:val="0"/>
          <w:sz w:val="32"/>
          <w:szCs w:val="32"/>
        </w:rPr>
      </w:pPr>
      <w:bookmarkStart w:id="10" w:name="_Toc69736471"/>
      <w:r>
        <w:rPr>
          <w:rFonts w:hint="eastAsia" w:ascii="Times New Roman" w:hAnsi="Times New Roman" w:eastAsia="黑体"/>
          <w:b w:val="0"/>
          <w:bCs w:val="0"/>
          <w:sz w:val="32"/>
          <w:szCs w:val="32"/>
        </w:rPr>
        <w:t>八、</w:t>
      </w:r>
      <w:bookmarkEnd w:id="10"/>
      <w:r>
        <w:rPr>
          <w:rFonts w:hint="eastAsia" w:ascii="Times New Roman" w:hAnsi="Times New Roman" w:eastAsia="黑体"/>
          <w:b w:val="0"/>
          <w:bCs w:val="0"/>
          <w:sz w:val="32"/>
          <w:szCs w:val="32"/>
        </w:rPr>
        <w:t>成片开发的土地利用及经济、社会、生态效益</w:t>
      </w:r>
    </w:p>
    <w:p>
      <w:pPr>
        <w:spacing w:line="360" w:lineRule="auto"/>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成片开发方案科学确定了年度成片开发的规模、用途及规划强度，有利于强化规划的引领作用，有利于优化土地利用空间格局，因地制</w:t>
      </w:r>
      <w:r>
        <w:rPr>
          <w:rFonts w:hint="eastAsia" w:ascii="Times New Roman" w:hAnsi="Times New Roman" w:eastAsia="仿宋_GB2312"/>
          <w:sz w:val="28"/>
        </w:rPr>
        <w:t>宜配置用地，充分发挥土地要素在象湖滨江片区建设发展中的作用。项目区的开发建设具有良好的经济效益，能够打造人才集聚、服务完善、具有区域特色的滨江商务科创中心；带动当地就业；提升居民生活水平，同时改善人居环境，增强城镇吸引力。</w:t>
      </w:r>
    </w:p>
    <w:p>
      <w:pPr>
        <w:numPr>
          <w:ilvl w:val="0"/>
          <w:numId w:val="2"/>
        </w:numPr>
        <w:ind w:firstLine="640" w:firstLineChars="200"/>
        <w:rPr>
          <w:rFonts w:ascii="Times New Roman" w:hAnsi="Times New Roman" w:eastAsia="黑体" w:cs="黑体"/>
          <w:kern w:val="44"/>
          <w:sz w:val="32"/>
          <w:szCs w:val="32"/>
        </w:rPr>
      </w:pPr>
      <w:r>
        <w:rPr>
          <w:rFonts w:hint="eastAsia" w:ascii="Times New Roman" w:hAnsi="Times New Roman" w:eastAsia="黑体" w:cs="黑体"/>
          <w:kern w:val="44"/>
          <w:sz w:val="32"/>
          <w:szCs w:val="32"/>
        </w:rPr>
        <w:t>结论</w:t>
      </w:r>
    </w:p>
    <w:p>
      <w:pPr>
        <w:spacing w:line="360" w:lineRule="auto"/>
        <w:ind w:firstLine="560" w:firstLineChars="200"/>
        <w:rPr>
          <w:rFonts w:ascii="Times New Roman" w:hAnsi="Times New Roman" w:eastAsia="仿宋_GB2312" w:cs="仿宋_GB2312"/>
          <w:sz w:val="28"/>
          <w:szCs w:val="28"/>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Times New Roman" w:hAnsi="Times New Roman" w:eastAsia="仿宋_GB2312" w:cs="仿宋_GB2312"/>
          <w:sz w:val="28"/>
          <w:szCs w:val="28"/>
        </w:rPr>
        <w:t>该方案符合</w:t>
      </w:r>
      <w:r>
        <w:rPr>
          <w:rFonts w:hint="eastAsia" w:ascii="Times New Roman" w:hAnsi="Times New Roman" w:eastAsia="仿宋_GB2312" w:cs="仿宋_GB2312"/>
          <w:color w:val="000000" w:themeColor="text1"/>
          <w:sz w:val="28"/>
          <w:szCs w:val="28"/>
          <w14:textFill>
            <w14:solidFill>
              <w14:schemeClr w14:val="tx1"/>
            </w14:solidFill>
          </w14:textFill>
        </w:rPr>
        <w:t>《自然资源部关于印发&lt;土地征收成片开发标准（试行）&gt;的通知》（自然资规〔2020〕5号）</w:t>
      </w:r>
      <w:r>
        <w:rPr>
          <w:rFonts w:ascii="Times New Roman" w:hAnsi="Times New Roman" w:eastAsia="仿宋_GB2312" w:cs="仿宋_GB2312"/>
          <w:sz w:val="28"/>
          <w:szCs w:val="28"/>
        </w:rPr>
        <w:t>和《江西省人民政府办公厅关于执行土地征收成片开发标准(试行)的指导意见》（赣府厅发〔2021〕2号）的要求</w:t>
      </w:r>
      <w:r>
        <w:rPr>
          <w:rFonts w:hint="eastAsia" w:ascii="Times New Roman" w:hAnsi="Times New Roman" w:eastAsia="仿宋_GB2312" w:cs="仿宋_GB2312"/>
          <w:sz w:val="28"/>
          <w:szCs w:val="28"/>
        </w:rPr>
        <w:t>，总体可行</w:t>
      </w:r>
      <w:r>
        <w:rPr>
          <w:rFonts w:ascii="Times New Roman" w:hAnsi="Times New Roman" w:eastAsia="仿宋_GB2312" w:cs="仿宋_GB2312"/>
          <w:sz w:val="28"/>
          <w:szCs w:val="28"/>
        </w:rPr>
        <w:t>。</w:t>
      </w:r>
    </w:p>
    <w:p>
      <w:pPr>
        <w:jc w:val="center"/>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mc:AlternateContent>
          <mc:Choice Requires="wps">
            <w:drawing>
              <wp:anchor distT="45720" distB="45720" distL="114300" distR="114300" simplePos="0" relativeHeight="251659264" behindDoc="0" locked="0" layoutInCell="1" allowOverlap="1">
                <wp:simplePos x="0" y="0"/>
                <wp:positionH relativeFrom="margin">
                  <wp:posOffset>0</wp:posOffset>
                </wp:positionH>
                <wp:positionV relativeFrom="paragraph">
                  <wp:posOffset>-325755</wp:posOffset>
                </wp:positionV>
                <wp:extent cx="601345" cy="409575"/>
                <wp:effectExtent l="0" t="0" r="27305" b="28575"/>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1345" cy="409575"/>
                        </a:xfrm>
                        <a:prstGeom prst="rect">
                          <a:avLst/>
                        </a:prstGeom>
                        <a:solidFill>
                          <a:srgbClr val="FFFFFF"/>
                        </a:solidFill>
                        <a:ln w="9525">
                          <a:solidFill>
                            <a:schemeClr val="bg1"/>
                          </a:solidFill>
                          <a:miter lim="800000"/>
                        </a:ln>
                      </wps:spPr>
                      <wps:txbx>
                        <w:txbxContent>
                          <w:p>
                            <w:pPr>
                              <w:adjustRightInd w:val="0"/>
                              <w:jc w:val="center"/>
                              <w:rPr>
                                <w:rFonts w:ascii="黑体" w:hAnsi="黑体" w:eastAsia="黑体"/>
                                <w:b/>
                                <w:bCs/>
                                <w:sz w:val="32"/>
                                <w:szCs w:val="32"/>
                              </w:rPr>
                            </w:pPr>
                            <w:r>
                              <w:rPr>
                                <w:rFonts w:hint="eastAsia" w:ascii="黑体" w:hAnsi="黑体" w:eastAsia="黑体"/>
                                <w:b/>
                                <w:bCs/>
                                <w:sz w:val="32"/>
                                <w:szCs w:val="32"/>
                              </w:rPr>
                              <w:t>附图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pt;margin-top:-25.65pt;height:32.25pt;width:47.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7gfUktYAAAAGAQAADwAAAAAAAAABACAAAAAiAAAAZHJzL2Rvd25y&#10;ZXYueG1sUEsBAhQAFAAAAAgAh07iQKbD5tg5AgAAfAQAAA4AAAAAAAAAAQAgAAAAJQEAAGRycy9l&#10;Mm9Eb2MueG1sUEsFBgAAAAAGAAYAWQEAANAFAAAAAA==&#10;">
                <v:fill on="t" focussize="0,0"/>
                <v:stroke color="#FFFFFF [3212]" miterlimit="8" joinstyle="miter"/>
                <v:imagedata o:title=""/>
                <o:lock v:ext="edit" aspectratio="f"/>
                <v:textbox>
                  <w:txbxContent>
                    <w:p>
                      <w:pPr>
                        <w:adjustRightInd w:val="0"/>
                        <w:jc w:val="center"/>
                        <w:rPr>
                          <w:rFonts w:ascii="黑体" w:hAnsi="黑体" w:eastAsia="黑体"/>
                          <w:b/>
                          <w:bCs/>
                          <w:sz w:val="32"/>
                          <w:szCs w:val="32"/>
                        </w:rPr>
                      </w:pPr>
                      <w:r>
                        <w:rPr>
                          <w:rFonts w:hint="eastAsia" w:ascii="黑体" w:hAnsi="黑体" w:eastAsia="黑体"/>
                          <w:b/>
                          <w:bCs/>
                          <w:sz w:val="32"/>
                          <w:szCs w:val="32"/>
                        </w:rPr>
                        <w:t>附图</w:t>
                      </w:r>
                    </w:p>
                  </w:txbxContent>
                </v:textbox>
                <w10:wrap type="square"/>
              </v:shape>
            </w:pict>
          </mc:Fallback>
        </mc:AlternateContent>
      </w:r>
      <w:r>
        <w:rPr>
          <w:rFonts w:ascii="Times New Roman" w:hAnsi="Times New Roman" w:eastAsia="仿宋_GB2312" w:cs="仿宋_GB2312"/>
          <w:kern w:val="0"/>
          <w:sz w:val="28"/>
          <w:szCs w:val="28"/>
        </w:rPr>
        <w:drawing>
          <wp:inline distT="0" distB="0" distL="0" distR="0">
            <wp:extent cx="11891645" cy="8408670"/>
            <wp:effectExtent l="0" t="0" r="14605" b="11430"/>
            <wp:docPr id="13" name="图片 13" descr="C:\Users\tzxy1\OneDrive\桌面\位置示意图.jpg位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tzxy1\OneDrive\桌面\位置示意图.jpg位置示意图"/>
                    <pic:cNvPicPr>
                      <a:picLocks noChangeAspect="1" noChangeArrowheads="1"/>
                    </pic:cNvPicPr>
                  </pic:nvPicPr>
                  <pic:blipFill>
                    <a:blip r:embed="rId6"/>
                    <a:srcRect/>
                    <a:stretch>
                      <a:fillRect/>
                    </a:stretch>
                  </pic:blipFill>
                  <pic:spPr>
                    <a:xfrm>
                      <a:off x="0" y="0"/>
                      <a:ext cx="11891645" cy="8408670"/>
                    </a:xfrm>
                    <a:prstGeom prst="rect">
                      <a:avLst/>
                    </a:prstGeom>
                    <a:noFill/>
                    <a:ln>
                      <a:noFill/>
                    </a:ln>
                  </pic:spPr>
                </pic:pic>
              </a:graphicData>
            </a:graphic>
          </wp:inline>
        </w:drawing>
      </w:r>
    </w:p>
    <w:p>
      <w:pPr>
        <w:jc w:val="center"/>
        <w:rPr>
          <w:rFonts w:ascii="Times New Roman" w:hAnsi="Times New Roman" w:eastAsia="仿宋_GB2312" w:cs="仿宋_GB2312"/>
          <w:kern w:val="0"/>
          <w:sz w:val="28"/>
          <w:szCs w:val="28"/>
        </w:rPr>
      </w:pPr>
      <w:r>
        <w:rPr>
          <w:rFonts w:ascii="Times New Roman" w:hAnsi="Times New Roman" w:eastAsia="仿宋_GB2312" w:cs="仿宋_GB2312"/>
          <w:kern w:val="0"/>
          <w:sz w:val="28"/>
          <w:szCs w:val="28"/>
        </w:rPr>
        <w:drawing>
          <wp:inline distT="0" distB="0" distL="0" distR="0">
            <wp:extent cx="11887200" cy="8409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887200" cy="8409940"/>
                    </a:xfrm>
                    <a:prstGeom prst="rect">
                      <a:avLst/>
                    </a:prstGeom>
                    <a:noFill/>
                    <a:ln>
                      <a:noFill/>
                    </a:ln>
                  </pic:spPr>
                </pic:pic>
              </a:graphicData>
            </a:graphic>
          </wp:inline>
        </w:drawing>
      </w:r>
      <w:r>
        <w:rPr>
          <w:rFonts w:ascii="Times New Roman" w:hAnsi="Times New Roman" w:eastAsia="仿宋_GB2312" w:cs="仿宋_GB2312"/>
          <w:kern w:val="0"/>
          <w:sz w:val="28"/>
          <w:szCs w:val="28"/>
        </w:rPr>
        <w:drawing>
          <wp:inline distT="0" distB="0" distL="0" distR="0">
            <wp:extent cx="11877040" cy="83991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77046" cy="8399145"/>
                    </a:xfrm>
                    <a:prstGeom prst="rect">
                      <a:avLst/>
                    </a:prstGeom>
                    <a:noFill/>
                    <a:ln>
                      <a:noFill/>
                    </a:ln>
                  </pic:spPr>
                </pic:pic>
              </a:graphicData>
            </a:graphic>
          </wp:inline>
        </w:drawing>
      </w:r>
    </w:p>
    <w:sectPr>
      <w:footerReference r:id="rId4" w:type="default"/>
      <w:pgSz w:w="23811" w:h="16838"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0252574"/>
    </w:sdtPr>
    <w:sdtContent>
      <w:p>
        <w:pPr>
          <w:pStyle w:val="8"/>
          <w:jc w:val="center"/>
        </w:pPr>
        <w:r>
          <w:fldChar w:fldCharType="begin"/>
        </w:r>
        <w:r>
          <w:instrText xml:space="preserve">PAGE   \* MERGEFORMAT</w:instrText>
        </w:r>
        <w:r>
          <w:fldChar w:fldCharType="separate"/>
        </w:r>
        <w:r>
          <w:rPr>
            <w:lang w:val="zh-CN"/>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2986149"/>
    </w:sdtPr>
    <w:sdtContent>
      <w:p>
        <w:pPr>
          <w:pStyle w:val="8"/>
          <w:jc w:val="center"/>
        </w:pPr>
        <w:r>
          <w:fldChar w:fldCharType="begin"/>
        </w:r>
        <w:r>
          <w:instrText xml:space="preserve">PAGE   \* MERGEFORMAT</w:instrText>
        </w:r>
        <w:r>
          <w:fldChar w:fldCharType="separate"/>
        </w:r>
        <w:r>
          <w:rPr>
            <w:lang w:val="zh-CN"/>
          </w:rPr>
          <w:t>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FAD09E"/>
    <w:multiLevelType w:val="singleLevel"/>
    <w:tmpl w:val="DCFAD09E"/>
    <w:lvl w:ilvl="0" w:tentative="0">
      <w:start w:val="4"/>
      <w:numFmt w:val="chineseCounting"/>
      <w:suff w:val="nothing"/>
      <w:lvlText w:val="%1、"/>
      <w:lvlJc w:val="left"/>
      <w:rPr>
        <w:rFonts w:hint="eastAsia"/>
      </w:rPr>
    </w:lvl>
  </w:abstractNum>
  <w:abstractNum w:abstractNumId="1">
    <w:nsid w:val="3175280E"/>
    <w:multiLevelType w:val="singleLevel"/>
    <w:tmpl w:val="3175280E"/>
    <w:lvl w:ilvl="0" w:tentative="0">
      <w:start w:val="9"/>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863"/>
    <w:rsid w:val="00002990"/>
    <w:rsid w:val="00006A39"/>
    <w:rsid w:val="00021358"/>
    <w:rsid w:val="0002636E"/>
    <w:rsid w:val="0003060C"/>
    <w:rsid w:val="00034D98"/>
    <w:rsid w:val="00035302"/>
    <w:rsid w:val="00044CF4"/>
    <w:rsid w:val="0004620D"/>
    <w:rsid w:val="0004666E"/>
    <w:rsid w:val="00050931"/>
    <w:rsid w:val="00055F67"/>
    <w:rsid w:val="00060E47"/>
    <w:rsid w:val="00064FD9"/>
    <w:rsid w:val="00071B2D"/>
    <w:rsid w:val="000721EE"/>
    <w:rsid w:val="00075EBC"/>
    <w:rsid w:val="000812B6"/>
    <w:rsid w:val="00081EE2"/>
    <w:rsid w:val="00084F32"/>
    <w:rsid w:val="0008792B"/>
    <w:rsid w:val="00095539"/>
    <w:rsid w:val="00095B8B"/>
    <w:rsid w:val="000A1077"/>
    <w:rsid w:val="000A13C1"/>
    <w:rsid w:val="000A1658"/>
    <w:rsid w:val="000A60A2"/>
    <w:rsid w:val="000B193E"/>
    <w:rsid w:val="000B2666"/>
    <w:rsid w:val="000C761A"/>
    <w:rsid w:val="000C7AC1"/>
    <w:rsid w:val="000D2683"/>
    <w:rsid w:val="000D53B3"/>
    <w:rsid w:val="000E43F0"/>
    <w:rsid w:val="00100D8D"/>
    <w:rsid w:val="00100EE0"/>
    <w:rsid w:val="00101DB0"/>
    <w:rsid w:val="00102897"/>
    <w:rsid w:val="001062CD"/>
    <w:rsid w:val="0010659D"/>
    <w:rsid w:val="00112AC1"/>
    <w:rsid w:val="00112F50"/>
    <w:rsid w:val="00116210"/>
    <w:rsid w:val="00130F63"/>
    <w:rsid w:val="001331DA"/>
    <w:rsid w:val="00141D48"/>
    <w:rsid w:val="00150D9A"/>
    <w:rsid w:val="00152203"/>
    <w:rsid w:val="00153287"/>
    <w:rsid w:val="0016462A"/>
    <w:rsid w:val="00172115"/>
    <w:rsid w:val="001746AF"/>
    <w:rsid w:val="001777DC"/>
    <w:rsid w:val="0018342C"/>
    <w:rsid w:val="001936E2"/>
    <w:rsid w:val="00196223"/>
    <w:rsid w:val="00197248"/>
    <w:rsid w:val="001A0411"/>
    <w:rsid w:val="001A1140"/>
    <w:rsid w:val="001A13B0"/>
    <w:rsid w:val="001A57E9"/>
    <w:rsid w:val="001A7845"/>
    <w:rsid w:val="001B0804"/>
    <w:rsid w:val="001B43BB"/>
    <w:rsid w:val="001C1906"/>
    <w:rsid w:val="001C6D7B"/>
    <w:rsid w:val="001C7025"/>
    <w:rsid w:val="001D0119"/>
    <w:rsid w:val="001D0CE8"/>
    <w:rsid w:val="001D0FFA"/>
    <w:rsid w:val="001D21B3"/>
    <w:rsid w:val="001D228A"/>
    <w:rsid w:val="001D5874"/>
    <w:rsid w:val="001E541C"/>
    <w:rsid w:val="001E6B39"/>
    <w:rsid w:val="001F05B5"/>
    <w:rsid w:val="001F106E"/>
    <w:rsid w:val="001F4DF9"/>
    <w:rsid w:val="001F5E41"/>
    <w:rsid w:val="001F692B"/>
    <w:rsid w:val="002032B3"/>
    <w:rsid w:val="00203630"/>
    <w:rsid w:val="00217520"/>
    <w:rsid w:val="002200DF"/>
    <w:rsid w:val="00224FD8"/>
    <w:rsid w:val="00226DF5"/>
    <w:rsid w:val="0022743E"/>
    <w:rsid w:val="002378EE"/>
    <w:rsid w:val="00237C7B"/>
    <w:rsid w:val="00246E08"/>
    <w:rsid w:val="00257982"/>
    <w:rsid w:val="002601E3"/>
    <w:rsid w:val="00262CBB"/>
    <w:rsid w:val="00265FC8"/>
    <w:rsid w:val="00270D34"/>
    <w:rsid w:val="00271387"/>
    <w:rsid w:val="00273723"/>
    <w:rsid w:val="00274DD8"/>
    <w:rsid w:val="0027500C"/>
    <w:rsid w:val="00277468"/>
    <w:rsid w:val="0028000A"/>
    <w:rsid w:val="00283954"/>
    <w:rsid w:val="00283E5A"/>
    <w:rsid w:val="00284164"/>
    <w:rsid w:val="00284D80"/>
    <w:rsid w:val="002853A5"/>
    <w:rsid w:val="00287056"/>
    <w:rsid w:val="0028762C"/>
    <w:rsid w:val="002905B6"/>
    <w:rsid w:val="00290795"/>
    <w:rsid w:val="00295AE7"/>
    <w:rsid w:val="00297F13"/>
    <w:rsid w:val="002A089A"/>
    <w:rsid w:val="002A1B28"/>
    <w:rsid w:val="002A2CE0"/>
    <w:rsid w:val="002A4A40"/>
    <w:rsid w:val="002B113E"/>
    <w:rsid w:val="002B6D07"/>
    <w:rsid w:val="002B7A3E"/>
    <w:rsid w:val="002C03E3"/>
    <w:rsid w:val="002C4583"/>
    <w:rsid w:val="002C6ED2"/>
    <w:rsid w:val="002D07C0"/>
    <w:rsid w:val="002D5095"/>
    <w:rsid w:val="002D5AF4"/>
    <w:rsid w:val="002D745B"/>
    <w:rsid w:val="002D7C48"/>
    <w:rsid w:val="002E1D30"/>
    <w:rsid w:val="002E3BA9"/>
    <w:rsid w:val="002F7C84"/>
    <w:rsid w:val="003021A4"/>
    <w:rsid w:val="00305C47"/>
    <w:rsid w:val="003077B3"/>
    <w:rsid w:val="00314EAD"/>
    <w:rsid w:val="00317F1B"/>
    <w:rsid w:val="00322345"/>
    <w:rsid w:val="0032544F"/>
    <w:rsid w:val="00331593"/>
    <w:rsid w:val="003356B4"/>
    <w:rsid w:val="00347FC8"/>
    <w:rsid w:val="00353F95"/>
    <w:rsid w:val="00354113"/>
    <w:rsid w:val="00360F2C"/>
    <w:rsid w:val="00362914"/>
    <w:rsid w:val="003644D5"/>
    <w:rsid w:val="00366272"/>
    <w:rsid w:val="00366B44"/>
    <w:rsid w:val="00367716"/>
    <w:rsid w:val="00374380"/>
    <w:rsid w:val="00377A59"/>
    <w:rsid w:val="00380DAF"/>
    <w:rsid w:val="00384B05"/>
    <w:rsid w:val="00386887"/>
    <w:rsid w:val="00391A4C"/>
    <w:rsid w:val="00392B93"/>
    <w:rsid w:val="00394689"/>
    <w:rsid w:val="003A0CF6"/>
    <w:rsid w:val="003A357A"/>
    <w:rsid w:val="003B0E72"/>
    <w:rsid w:val="003C2F42"/>
    <w:rsid w:val="003C4345"/>
    <w:rsid w:val="003C69F4"/>
    <w:rsid w:val="003D20B4"/>
    <w:rsid w:val="003D48BB"/>
    <w:rsid w:val="003E0B1E"/>
    <w:rsid w:val="003E3287"/>
    <w:rsid w:val="003F0A1D"/>
    <w:rsid w:val="003F1AA7"/>
    <w:rsid w:val="003F3EF1"/>
    <w:rsid w:val="003F6FBA"/>
    <w:rsid w:val="003F709D"/>
    <w:rsid w:val="00405A4E"/>
    <w:rsid w:val="00405D7E"/>
    <w:rsid w:val="00406171"/>
    <w:rsid w:val="0041053E"/>
    <w:rsid w:val="00414551"/>
    <w:rsid w:val="00416DB3"/>
    <w:rsid w:val="004244B6"/>
    <w:rsid w:val="00442B8A"/>
    <w:rsid w:val="00442BBF"/>
    <w:rsid w:val="00446869"/>
    <w:rsid w:val="004515A8"/>
    <w:rsid w:val="004540CD"/>
    <w:rsid w:val="00456AA6"/>
    <w:rsid w:val="00456E8B"/>
    <w:rsid w:val="004665E4"/>
    <w:rsid w:val="004675EB"/>
    <w:rsid w:val="004715DC"/>
    <w:rsid w:val="00473D1F"/>
    <w:rsid w:val="004753FA"/>
    <w:rsid w:val="00475C4F"/>
    <w:rsid w:val="00493D35"/>
    <w:rsid w:val="0049467C"/>
    <w:rsid w:val="00494BB5"/>
    <w:rsid w:val="00496A29"/>
    <w:rsid w:val="004A0ED3"/>
    <w:rsid w:val="004A1F88"/>
    <w:rsid w:val="004A2E08"/>
    <w:rsid w:val="004A3BC9"/>
    <w:rsid w:val="004B0BC6"/>
    <w:rsid w:val="004B4DF4"/>
    <w:rsid w:val="004C094A"/>
    <w:rsid w:val="004C3598"/>
    <w:rsid w:val="004C4E1C"/>
    <w:rsid w:val="004D117D"/>
    <w:rsid w:val="004D3173"/>
    <w:rsid w:val="004D6877"/>
    <w:rsid w:val="004D6AAB"/>
    <w:rsid w:val="004E6FE3"/>
    <w:rsid w:val="004E7688"/>
    <w:rsid w:val="004F245D"/>
    <w:rsid w:val="004F7BEC"/>
    <w:rsid w:val="005030BD"/>
    <w:rsid w:val="005036B8"/>
    <w:rsid w:val="00504C3A"/>
    <w:rsid w:val="00505813"/>
    <w:rsid w:val="00515173"/>
    <w:rsid w:val="0051522D"/>
    <w:rsid w:val="00540931"/>
    <w:rsid w:val="00540E2E"/>
    <w:rsid w:val="00543056"/>
    <w:rsid w:val="00543B46"/>
    <w:rsid w:val="00545B1A"/>
    <w:rsid w:val="00552936"/>
    <w:rsid w:val="0055484E"/>
    <w:rsid w:val="005566FE"/>
    <w:rsid w:val="005570D2"/>
    <w:rsid w:val="0056061C"/>
    <w:rsid w:val="00573261"/>
    <w:rsid w:val="00573D0F"/>
    <w:rsid w:val="005743B1"/>
    <w:rsid w:val="00576531"/>
    <w:rsid w:val="00581C33"/>
    <w:rsid w:val="00586EF0"/>
    <w:rsid w:val="00590C44"/>
    <w:rsid w:val="005A4265"/>
    <w:rsid w:val="005A77D5"/>
    <w:rsid w:val="005B70B0"/>
    <w:rsid w:val="005B73CE"/>
    <w:rsid w:val="005B792B"/>
    <w:rsid w:val="005B7CC5"/>
    <w:rsid w:val="005C1497"/>
    <w:rsid w:val="005C2568"/>
    <w:rsid w:val="005C2BC7"/>
    <w:rsid w:val="005C6E6D"/>
    <w:rsid w:val="005D4FC4"/>
    <w:rsid w:val="005D5C03"/>
    <w:rsid w:val="005E1B3B"/>
    <w:rsid w:val="005E77F4"/>
    <w:rsid w:val="005F08A0"/>
    <w:rsid w:val="005F1A4A"/>
    <w:rsid w:val="005F5CFB"/>
    <w:rsid w:val="005F68D2"/>
    <w:rsid w:val="00607182"/>
    <w:rsid w:val="00607541"/>
    <w:rsid w:val="006111C0"/>
    <w:rsid w:val="0061135A"/>
    <w:rsid w:val="006136A8"/>
    <w:rsid w:val="006213D9"/>
    <w:rsid w:val="00624472"/>
    <w:rsid w:val="00626CAA"/>
    <w:rsid w:val="00627EF1"/>
    <w:rsid w:val="00630EE8"/>
    <w:rsid w:val="0063310B"/>
    <w:rsid w:val="00633F60"/>
    <w:rsid w:val="0063572A"/>
    <w:rsid w:val="00637347"/>
    <w:rsid w:val="00640947"/>
    <w:rsid w:val="006414B2"/>
    <w:rsid w:val="00644E65"/>
    <w:rsid w:val="00645927"/>
    <w:rsid w:val="006461AC"/>
    <w:rsid w:val="006465B3"/>
    <w:rsid w:val="006500C3"/>
    <w:rsid w:val="00652FF3"/>
    <w:rsid w:val="006530A8"/>
    <w:rsid w:val="006572BE"/>
    <w:rsid w:val="0065741B"/>
    <w:rsid w:val="006574A9"/>
    <w:rsid w:val="006577A3"/>
    <w:rsid w:val="00660A98"/>
    <w:rsid w:val="0066320F"/>
    <w:rsid w:val="00672A51"/>
    <w:rsid w:val="00672D46"/>
    <w:rsid w:val="00673518"/>
    <w:rsid w:val="00673E91"/>
    <w:rsid w:val="006830EC"/>
    <w:rsid w:val="00684295"/>
    <w:rsid w:val="006936EB"/>
    <w:rsid w:val="00694CFA"/>
    <w:rsid w:val="006A21F4"/>
    <w:rsid w:val="006A2242"/>
    <w:rsid w:val="006B0BDB"/>
    <w:rsid w:val="006B6F27"/>
    <w:rsid w:val="006C47BA"/>
    <w:rsid w:val="006C51B3"/>
    <w:rsid w:val="006C6408"/>
    <w:rsid w:val="006C68EA"/>
    <w:rsid w:val="006D49E9"/>
    <w:rsid w:val="006E0F99"/>
    <w:rsid w:val="006E0FAF"/>
    <w:rsid w:val="006E10EC"/>
    <w:rsid w:val="006E21DF"/>
    <w:rsid w:val="006E6E7F"/>
    <w:rsid w:val="006E7441"/>
    <w:rsid w:val="006F6C32"/>
    <w:rsid w:val="007112E0"/>
    <w:rsid w:val="00713B40"/>
    <w:rsid w:val="00715B6E"/>
    <w:rsid w:val="007169F3"/>
    <w:rsid w:val="00722A70"/>
    <w:rsid w:val="007241C6"/>
    <w:rsid w:val="00726291"/>
    <w:rsid w:val="007274E8"/>
    <w:rsid w:val="007342AF"/>
    <w:rsid w:val="00736833"/>
    <w:rsid w:val="00737969"/>
    <w:rsid w:val="007406D9"/>
    <w:rsid w:val="007458C4"/>
    <w:rsid w:val="00746B19"/>
    <w:rsid w:val="007522F3"/>
    <w:rsid w:val="00753CC2"/>
    <w:rsid w:val="00753CED"/>
    <w:rsid w:val="007552DE"/>
    <w:rsid w:val="007628DA"/>
    <w:rsid w:val="00763F99"/>
    <w:rsid w:val="00767C44"/>
    <w:rsid w:val="007729B0"/>
    <w:rsid w:val="00772E6F"/>
    <w:rsid w:val="00775D76"/>
    <w:rsid w:val="00781E9A"/>
    <w:rsid w:val="00791C74"/>
    <w:rsid w:val="007925C7"/>
    <w:rsid w:val="007A6269"/>
    <w:rsid w:val="007B1462"/>
    <w:rsid w:val="007B510D"/>
    <w:rsid w:val="007B68C1"/>
    <w:rsid w:val="007C21C5"/>
    <w:rsid w:val="007C317B"/>
    <w:rsid w:val="007C758F"/>
    <w:rsid w:val="007D0CBF"/>
    <w:rsid w:val="007D17DB"/>
    <w:rsid w:val="007D2950"/>
    <w:rsid w:val="007D3D05"/>
    <w:rsid w:val="007D6D36"/>
    <w:rsid w:val="007E2431"/>
    <w:rsid w:val="007E2559"/>
    <w:rsid w:val="007E2678"/>
    <w:rsid w:val="007E4379"/>
    <w:rsid w:val="007F1209"/>
    <w:rsid w:val="007F1EEE"/>
    <w:rsid w:val="007F275D"/>
    <w:rsid w:val="007F75F2"/>
    <w:rsid w:val="00800EBC"/>
    <w:rsid w:val="0080207F"/>
    <w:rsid w:val="00804B1D"/>
    <w:rsid w:val="00814563"/>
    <w:rsid w:val="0081581C"/>
    <w:rsid w:val="008217B5"/>
    <w:rsid w:val="00824775"/>
    <w:rsid w:val="00826A9B"/>
    <w:rsid w:val="0083026C"/>
    <w:rsid w:val="00831BF4"/>
    <w:rsid w:val="00832822"/>
    <w:rsid w:val="0083390C"/>
    <w:rsid w:val="00837F29"/>
    <w:rsid w:val="00845A0D"/>
    <w:rsid w:val="00851839"/>
    <w:rsid w:val="0085219C"/>
    <w:rsid w:val="00852972"/>
    <w:rsid w:val="00853B70"/>
    <w:rsid w:val="008543E3"/>
    <w:rsid w:val="00856C18"/>
    <w:rsid w:val="00861B02"/>
    <w:rsid w:val="00861EB8"/>
    <w:rsid w:val="00863A19"/>
    <w:rsid w:val="0086552D"/>
    <w:rsid w:val="008703B3"/>
    <w:rsid w:val="008745FC"/>
    <w:rsid w:val="0088297D"/>
    <w:rsid w:val="00883B91"/>
    <w:rsid w:val="00883E18"/>
    <w:rsid w:val="00891F47"/>
    <w:rsid w:val="00892A10"/>
    <w:rsid w:val="0089457F"/>
    <w:rsid w:val="008978BF"/>
    <w:rsid w:val="00897A4D"/>
    <w:rsid w:val="008A265C"/>
    <w:rsid w:val="008A4005"/>
    <w:rsid w:val="008A40A8"/>
    <w:rsid w:val="008B00D2"/>
    <w:rsid w:val="008B130B"/>
    <w:rsid w:val="008B2C9D"/>
    <w:rsid w:val="008B4603"/>
    <w:rsid w:val="008C3290"/>
    <w:rsid w:val="008C4239"/>
    <w:rsid w:val="008C7BEC"/>
    <w:rsid w:val="008E0456"/>
    <w:rsid w:val="008E09A1"/>
    <w:rsid w:val="008F0C5F"/>
    <w:rsid w:val="008F1072"/>
    <w:rsid w:val="008F3EEF"/>
    <w:rsid w:val="008F60A2"/>
    <w:rsid w:val="008F651C"/>
    <w:rsid w:val="0090374B"/>
    <w:rsid w:val="00904A06"/>
    <w:rsid w:val="00915AD7"/>
    <w:rsid w:val="00915E55"/>
    <w:rsid w:val="00921972"/>
    <w:rsid w:val="00923D14"/>
    <w:rsid w:val="009271FE"/>
    <w:rsid w:val="00930369"/>
    <w:rsid w:val="009361CF"/>
    <w:rsid w:val="00943758"/>
    <w:rsid w:val="00944D93"/>
    <w:rsid w:val="009457BD"/>
    <w:rsid w:val="0094625C"/>
    <w:rsid w:val="00950D9E"/>
    <w:rsid w:val="00951987"/>
    <w:rsid w:val="009556F4"/>
    <w:rsid w:val="00955BDE"/>
    <w:rsid w:val="00957C3D"/>
    <w:rsid w:val="00962EBF"/>
    <w:rsid w:val="00964537"/>
    <w:rsid w:val="00967068"/>
    <w:rsid w:val="00972E6B"/>
    <w:rsid w:val="009751CB"/>
    <w:rsid w:val="0098307D"/>
    <w:rsid w:val="00993E5B"/>
    <w:rsid w:val="00997B1C"/>
    <w:rsid w:val="00997ECD"/>
    <w:rsid w:val="009A092C"/>
    <w:rsid w:val="009A0FA7"/>
    <w:rsid w:val="009A2DE2"/>
    <w:rsid w:val="009A599F"/>
    <w:rsid w:val="009A613F"/>
    <w:rsid w:val="009A6670"/>
    <w:rsid w:val="009B248A"/>
    <w:rsid w:val="009B2D0A"/>
    <w:rsid w:val="009B5B22"/>
    <w:rsid w:val="009B5D7A"/>
    <w:rsid w:val="009B7BBD"/>
    <w:rsid w:val="009C0F08"/>
    <w:rsid w:val="009C106C"/>
    <w:rsid w:val="009C16C6"/>
    <w:rsid w:val="009C35D8"/>
    <w:rsid w:val="009C66C9"/>
    <w:rsid w:val="009D3523"/>
    <w:rsid w:val="009D4481"/>
    <w:rsid w:val="009D5448"/>
    <w:rsid w:val="009D5A3B"/>
    <w:rsid w:val="009D759D"/>
    <w:rsid w:val="009E18F8"/>
    <w:rsid w:val="009E347E"/>
    <w:rsid w:val="009E36E9"/>
    <w:rsid w:val="009E685E"/>
    <w:rsid w:val="009E7258"/>
    <w:rsid w:val="009F132A"/>
    <w:rsid w:val="009F3A77"/>
    <w:rsid w:val="009F5D72"/>
    <w:rsid w:val="009F5DE2"/>
    <w:rsid w:val="00A00FAF"/>
    <w:rsid w:val="00A04B32"/>
    <w:rsid w:val="00A05374"/>
    <w:rsid w:val="00A077C5"/>
    <w:rsid w:val="00A24AF9"/>
    <w:rsid w:val="00A2590C"/>
    <w:rsid w:val="00A315EA"/>
    <w:rsid w:val="00A31B05"/>
    <w:rsid w:val="00A373AA"/>
    <w:rsid w:val="00A42E0A"/>
    <w:rsid w:val="00A440EE"/>
    <w:rsid w:val="00A44CBB"/>
    <w:rsid w:val="00A45917"/>
    <w:rsid w:val="00A51BEF"/>
    <w:rsid w:val="00A52F46"/>
    <w:rsid w:val="00A533FC"/>
    <w:rsid w:val="00A605DA"/>
    <w:rsid w:val="00A60748"/>
    <w:rsid w:val="00A63F1E"/>
    <w:rsid w:val="00A640DD"/>
    <w:rsid w:val="00A75F4F"/>
    <w:rsid w:val="00A813F2"/>
    <w:rsid w:val="00A8198C"/>
    <w:rsid w:val="00A82BB5"/>
    <w:rsid w:val="00A831CC"/>
    <w:rsid w:val="00A83444"/>
    <w:rsid w:val="00A83C0A"/>
    <w:rsid w:val="00A872FB"/>
    <w:rsid w:val="00A87AFD"/>
    <w:rsid w:val="00A90F29"/>
    <w:rsid w:val="00A94D98"/>
    <w:rsid w:val="00A96ADE"/>
    <w:rsid w:val="00A9779E"/>
    <w:rsid w:val="00AA2478"/>
    <w:rsid w:val="00AA7863"/>
    <w:rsid w:val="00AB4CC4"/>
    <w:rsid w:val="00AB644C"/>
    <w:rsid w:val="00AB786F"/>
    <w:rsid w:val="00AC134A"/>
    <w:rsid w:val="00AC1FB8"/>
    <w:rsid w:val="00AC390F"/>
    <w:rsid w:val="00AC4F60"/>
    <w:rsid w:val="00AC53E7"/>
    <w:rsid w:val="00AC7C4D"/>
    <w:rsid w:val="00AD3890"/>
    <w:rsid w:val="00AD6CDB"/>
    <w:rsid w:val="00AD77AE"/>
    <w:rsid w:val="00AE6FDC"/>
    <w:rsid w:val="00AF2387"/>
    <w:rsid w:val="00AF5FEC"/>
    <w:rsid w:val="00AF7DA7"/>
    <w:rsid w:val="00B0077D"/>
    <w:rsid w:val="00B00F4E"/>
    <w:rsid w:val="00B0255D"/>
    <w:rsid w:val="00B02BAD"/>
    <w:rsid w:val="00B02E4C"/>
    <w:rsid w:val="00B0492F"/>
    <w:rsid w:val="00B05B77"/>
    <w:rsid w:val="00B10CA4"/>
    <w:rsid w:val="00B10EA9"/>
    <w:rsid w:val="00B12080"/>
    <w:rsid w:val="00B16CB9"/>
    <w:rsid w:val="00B20568"/>
    <w:rsid w:val="00B24468"/>
    <w:rsid w:val="00B35B9E"/>
    <w:rsid w:val="00B36B42"/>
    <w:rsid w:val="00B37576"/>
    <w:rsid w:val="00B411AD"/>
    <w:rsid w:val="00B42858"/>
    <w:rsid w:val="00B4344A"/>
    <w:rsid w:val="00B43573"/>
    <w:rsid w:val="00B43AFC"/>
    <w:rsid w:val="00B47F06"/>
    <w:rsid w:val="00B51FFD"/>
    <w:rsid w:val="00B52C36"/>
    <w:rsid w:val="00B54F88"/>
    <w:rsid w:val="00B6111C"/>
    <w:rsid w:val="00B61206"/>
    <w:rsid w:val="00B61E7C"/>
    <w:rsid w:val="00B64816"/>
    <w:rsid w:val="00B64BEA"/>
    <w:rsid w:val="00B7002E"/>
    <w:rsid w:val="00B70274"/>
    <w:rsid w:val="00B83E4C"/>
    <w:rsid w:val="00B9075D"/>
    <w:rsid w:val="00B9155E"/>
    <w:rsid w:val="00B929A7"/>
    <w:rsid w:val="00B941FC"/>
    <w:rsid w:val="00B95665"/>
    <w:rsid w:val="00B956D7"/>
    <w:rsid w:val="00B96571"/>
    <w:rsid w:val="00BA06CE"/>
    <w:rsid w:val="00BA5C01"/>
    <w:rsid w:val="00BA7DF8"/>
    <w:rsid w:val="00BB1AF4"/>
    <w:rsid w:val="00BB2B4C"/>
    <w:rsid w:val="00BB3804"/>
    <w:rsid w:val="00BB3FEC"/>
    <w:rsid w:val="00BB5803"/>
    <w:rsid w:val="00BB5D56"/>
    <w:rsid w:val="00BC02C1"/>
    <w:rsid w:val="00BC0B13"/>
    <w:rsid w:val="00BC421A"/>
    <w:rsid w:val="00BC4C62"/>
    <w:rsid w:val="00BD0726"/>
    <w:rsid w:val="00BD4DAE"/>
    <w:rsid w:val="00BD66B0"/>
    <w:rsid w:val="00BD6CEC"/>
    <w:rsid w:val="00BD7B17"/>
    <w:rsid w:val="00BE031B"/>
    <w:rsid w:val="00BE1BEB"/>
    <w:rsid w:val="00BE6C2C"/>
    <w:rsid w:val="00BF3EBF"/>
    <w:rsid w:val="00BF40C9"/>
    <w:rsid w:val="00BF6FD2"/>
    <w:rsid w:val="00C01ABA"/>
    <w:rsid w:val="00C02F70"/>
    <w:rsid w:val="00C035BC"/>
    <w:rsid w:val="00C03B48"/>
    <w:rsid w:val="00C07A3F"/>
    <w:rsid w:val="00C10900"/>
    <w:rsid w:val="00C10EFE"/>
    <w:rsid w:val="00C149C8"/>
    <w:rsid w:val="00C14CFD"/>
    <w:rsid w:val="00C15CF7"/>
    <w:rsid w:val="00C21567"/>
    <w:rsid w:val="00C34F09"/>
    <w:rsid w:val="00C4077D"/>
    <w:rsid w:val="00C45D55"/>
    <w:rsid w:val="00C47AA6"/>
    <w:rsid w:val="00C501F5"/>
    <w:rsid w:val="00C523EE"/>
    <w:rsid w:val="00C53CB9"/>
    <w:rsid w:val="00C544D1"/>
    <w:rsid w:val="00C55306"/>
    <w:rsid w:val="00C55AD1"/>
    <w:rsid w:val="00C60218"/>
    <w:rsid w:val="00C64BB5"/>
    <w:rsid w:val="00C652FD"/>
    <w:rsid w:val="00C6790D"/>
    <w:rsid w:val="00C72473"/>
    <w:rsid w:val="00C72EC3"/>
    <w:rsid w:val="00C73FB9"/>
    <w:rsid w:val="00C7495E"/>
    <w:rsid w:val="00C8604B"/>
    <w:rsid w:val="00C86E87"/>
    <w:rsid w:val="00C90140"/>
    <w:rsid w:val="00C91D2C"/>
    <w:rsid w:val="00C95243"/>
    <w:rsid w:val="00CB11A2"/>
    <w:rsid w:val="00CB1261"/>
    <w:rsid w:val="00CB20D9"/>
    <w:rsid w:val="00CB26DA"/>
    <w:rsid w:val="00CB33FC"/>
    <w:rsid w:val="00CC31DD"/>
    <w:rsid w:val="00CC4E3D"/>
    <w:rsid w:val="00CC6082"/>
    <w:rsid w:val="00CD3D65"/>
    <w:rsid w:val="00CD7807"/>
    <w:rsid w:val="00CE2E4D"/>
    <w:rsid w:val="00CE3970"/>
    <w:rsid w:val="00CE40AC"/>
    <w:rsid w:val="00CE58FD"/>
    <w:rsid w:val="00CE7379"/>
    <w:rsid w:val="00CF1F35"/>
    <w:rsid w:val="00CF336B"/>
    <w:rsid w:val="00CF3A85"/>
    <w:rsid w:val="00D069B9"/>
    <w:rsid w:val="00D06C46"/>
    <w:rsid w:val="00D11CFD"/>
    <w:rsid w:val="00D11ECE"/>
    <w:rsid w:val="00D12F29"/>
    <w:rsid w:val="00D1724F"/>
    <w:rsid w:val="00D23D2D"/>
    <w:rsid w:val="00D372ED"/>
    <w:rsid w:val="00D37E29"/>
    <w:rsid w:val="00D41014"/>
    <w:rsid w:val="00D41417"/>
    <w:rsid w:val="00D429FA"/>
    <w:rsid w:val="00D42B27"/>
    <w:rsid w:val="00D45B2E"/>
    <w:rsid w:val="00D46ACA"/>
    <w:rsid w:val="00D50ABA"/>
    <w:rsid w:val="00D548DD"/>
    <w:rsid w:val="00D550CC"/>
    <w:rsid w:val="00D55307"/>
    <w:rsid w:val="00D57A2C"/>
    <w:rsid w:val="00D60331"/>
    <w:rsid w:val="00D6249F"/>
    <w:rsid w:val="00D71D9C"/>
    <w:rsid w:val="00D7307F"/>
    <w:rsid w:val="00D760FC"/>
    <w:rsid w:val="00D80C43"/>
    <w:rsid w:val="00D8255B"/>
    <w:rsid w:val="00D83944"/>
    <w:rsid w:val="00D83A2B"/>
    <w:rsid w:val="00D83D2E"/>
    <w:rsid w:val="00D852B8"/>
    <w:rsid w:val="00D92019"/>
    <w:rsid w:val="00D920C1"/>
    <w:rsid w:val="00D92CC7"/>
    <w:rsid w:val="00D955AB"/>
    <w:rsid w:val="00D9638A"/>
    <w:rsid w:val="00D97FB9"/>
    <w:rsid w:val="00DA10DA"/>
    <w:rsid w:val="00DA43B1"/>
    <w:rsid w:val="00DB135B"/>
    <w:rsid w:val="00DB357D"/>
    <w:rsid w:val="00DB59FD"/>
    <w:rsid w:val="00DB71F0"/>
    <w:rsid w:val="00DB771A"/>
    <w:rsid w:val="00DC78A4"/>
    <w:rsid w:val="00DD0E88"/>
    <w:rsid w:val="00DD1906"/>
    <w:rsid w:val="00DD2958"/>
    <w:rsid w:val="00DE1762"/>
    <w:rsid w:val="00DE1B8D"/>
    <w:rsid w:val="00DE2638"/>
    <w:rsid w:val="00DF09C9"/>
    <w:rsid w:val="00DF1E7A"/>
    <w:rsid w:val="00DF3F77"/>
    <w:rsid w:val="00DF7376"/>
    <w:rsid w:val="00E01228"/>
    <w:rsid w:val="00E0168B"/>
    <w:rsid w:val="00E0308C"/>
    <w:rsid w:val="00E04F75"/>
    <w:rsid w:val="00E07E3B"/>
    <w:rsid w:val="00E100F6"/>
    <w:rsid w:val="00E110BB"/>
    <w:rsid w:val="00E148B2"/>
    <w:rsid w:val="00E17943"/>
    <w:rsid w:val="00E17EB2"/>
    <w:rsid w:val="00E22667"/>
    <w:rsid w:val="00E2394A"/>
    <w:rsid w:val="00E26C11"/>
    <w:rsid w:val="00E31CF4"/>
    <w:rsid w:val="00E336DA"/>
    <w:rsid w:val="00E33AF9"/>
    <w:rsid w:val="00E353CE"/>
    <w:rsid w:val="00E3605F"/>
    <w:rsid w:val="00E42291"/>
    <w:rsid w:val="00E43B8C"/>
    <w:rsid w:val="00E4719C"/>
    <w:rsid w:val="00E5002A"/>
    <w:rsid w:val="00E525DF"/>
    <w:rsid w:val="00E54BCC"/>
    <w:rsid w:val="00E559B5"/>
    <w:rsid w:val="00E56D74"/>
    <w:rsid w:val="00E6045F"/>
    <w:rsid w:val="00E6092E"/>
    <w:rsid w:val="00E72C0B"/>
    <w:rsid w:val="00E73597"/>
    <w:rsid w:val="00E753C7"/>
    <w:rsid w:val="00E7685E"/>
    <w:rsid w:val="00E84041"/>
    <w:rsid w:val="00E852F7"/>
    <w:rsid w:val="00E90811"/>
    <w:rsid w:val="00E964B9"/>
    <w:rsid w:val="00EA0254"/>
    <w:rsid w:val="00EA6729"/>
    <w:rsid w:val="00EB115D"/>
    <w:rsid w:val="00EB146A"/>
    <w:rsid w:val="00EB46FF"/>
    <w:rsid w:val="00EC14EE"/>
    <w:rsid w:val="00EC21BD"/>
    <w:rsid w:val="00ED0273"/>
    <w:rsid w:val="00ED178A"/>
    <w:rsid w:val="00ED2D04"/>
    <w:rsid w:val="00ED2F65"/>
    <w:rsid w:val="00ED34E1"/>
    <w:rsid w:val="00ED374E"/>
    <w:rsid w:val="00EE162A"/>
    <w:rsid w:val="00EE37EB"/>
    <w:rsid w:val="00EE5893"/>
    <w:rsid w:val="00EF2E7F"/>
    <w:rsid w:val="00F01856"/>
    <w:rsid w:val="00F02CA6"/>
    <w:rsid w:val="00F061C8"/>
    <w:rsid w:val="00F121E9"/>
    <w:rsid w:val="00F133DE"/>
    <w:rsid w:val="00F13572"/>
    <w:rsid w:val="00F14702"/>
    <w:rsid w:val="00F14A9F"/>
    <w:rsid w:val="00F21C27"/>
    <w:rsid w:val="00F22B8F"/>
    <w:rsid w:val="00F23CC5"/>
    <w:rsid w:val="00F243BD"/>
    <w:rsid w:val="00F278B9"/>
    <w:rsid w:val="00F3038E"/>
    <w:rsid w:val="00F3261B"/>
    <w:rsid w:val="00F349B3"/>
    <w:rsid w:val="00F35DCE"/>
    <w:rsid w:val="00F36238"/>
    <w:rsid w:val="00F41290"/>
    <w:rsid w:val="00F56691"/>
    <w:rsid w:val="00F6746A"/>
    <w:rsid w:val="00F70BA3"/>
    <w:rsid w:val="00F733E0"/>
    <w:rsid w:val="00F75098"/>
    <w:rsid w:val="00F76C7B"/>
    <w:rsid w:val="00F76EC5"/>
    <w:rsid w:val="00F77F11"/>
    <w:rsid w:val="00F83CA7"/>
    <w:rsid w:val="00F84220"/>
    <w:rsid w:val="00F904BF"/>
    <w:rsid w:val="00F92513"/>
    <w:rsid w:val="00F92CBE"/>
    <w:rsid w:val="00F947A7"/>
    <w:rsid w:val="00F956DD"/>
    <w:rsid w:val="00F9585A"/>
    <w:rsid w:val="00F960FA"/>
    <w:rsid w:val="00F96524"/>
    <w:rsid w:val="00FA40C4"/>
    <w:rsid w:val="00FA4E76"/>
    <w:rsid w:val="00FB054C"/>
    <w:rsid w:val="00FB211D"/>
    <w:rsid w:val="00FB2D78"/>
    <w:rsid w:val="00FB3789"/>
    <w:rsid w:val="00FC29C0"/>
    <w:rsid w:val="00FC4849"/>
    <w:rsid w:val="00FC5A8F"/>
    <w:rsid w:val="00FC5FF1"/>
    <w:rsid w:val="00FC76CE"/>
    <w:rsid w:val="00FC775A"/>
    <w:rsid w:val="00FD2C45"/>
    <w:rsid w:val="00FD38FB"/>
    <w:rsid w:val="00FD44B0"/>
    <w:rsid w:val="00FD4DEF"/>
    <w:rsid w:val="00FE29FD"/>
    <w:rsid w:val="00FE4832"/>
    <w:rsid w:val="00FF1F97"/>
    <w:rsid w:val="00FF20AD"/>
    <w:rsid w:val="00FF3203"/>
    <w:rsid w:val="00FF6099"/>
    <w:rsid w:val="05B94BCB"/>
    <w:rsid w:val="19FB3709"/>
    <w:rsid w:val="220642D1"/>
    <w:rsid w:val="439673DC"/>
    <w:rsid w:val="51ED4F53"/>
    <w:rsid w:val="77F71B29"/>
    <w:rsid w:val="7AE72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10" w:after="10" w:line="360" w:lineRule="auto"/>
      <w:ind w:left="432"/>
      <w:outlineLvl w:val="0"/>
    </w:pPr>
    <w:rPr>
      <w:rFonts w:ascii="Calibri" w:hAnsi="Calibri" w:eastAsia="仿宋" w:cs="黑体"/>
      <w:b/>
      <w:bCs/>
      <w:kern w:val="44"/>
      <w:sz w:val="30"/>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semiHidden/>
    <w:unhideWhenUsed/>
    <w:qFormat/>
    <w:uiPriority w:val="99"/>
    <w:pPr>
      <w:jc w:val="left"/>
    </w:pPr>
  </w:style>
  <w:style w:type="paragraph" w:styleId="6">
    <w:name w:val="Body Text"/>
    <w:basedOn w:val="1"/>
    <w:next w:val="1"/>
    <w:link w:val="28"/>
    <w:unhideWhenUsed/>
    <w:qFormat/>
    <w:uiPriority w:val="99"/>
    <w:rPr>
      <w:rFonts w:ascii="Calibri" w:hAnsi="Calibri" w:eastAsia="宋体" w:cs="Times New Roman"/>
      <w:szCs w:val="24"/>
    </w:rPr>
  </w:style>
  <w:style w:type="paragraph" w:styleId="7">
    <w:name w:val="Balloon Text"/>
    <w:basedOn w:val="1"/>
    <w:link w:val="24"/>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annotation subject"/>
    <w:basedOn w:val="5"/>
    <w:next w:val="5"/>
    <w:link w:val="31"/>
    <w:semiHidden/>
    <w:unhideWhenUsed/>
    <w:qFormat/>
    <w:uiPriority w:val="99"/>
    <w:rPr>
      <w:b/>
      <w:bCs/>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semiHidden/>
    <w:unhideWhenUsed/>
    <w:qFormat/>
    <w:uiPriority w:val="99"/>
    <w:rPr>
      <w:sz w:val="21"/>
      <w:szCs w:val="21"/>
    </w:rPr>
  </w:style>
  <w:style w:type="character" w:customStyle="1" w:styleId="17">
    <w:name w:val="标题 1 字符"/>
    <w:basedOn w:val="14"/>
    <w:link w:val="2"/>
    <w:qFormat/>
    <w:uiPriority w:val="9"/>
    <w:rPr>
      <w:rFonts w:ascii="Calibri" w:hAnsi="Calibri" w:eastAsia="仿宋" w:cs="黑体"/>
      <w:b/>
      <w:bCs/>
      <w:kern w:val="44"/>
      <w:sz w:val="30"/>
      <w:szCs w:val="44"/>
    </w:rPr>
  </w:style>
  <w:style w:type="character" w:customStyle="1" w:styleId="18">
    <w:name w:val="标题 2 字符"/>
    <w:basedOn w:val="14"/>
    <w:link w:val="3"/>
    <w:qFormat/>
    <w:uiPriority w:val="9"/>
    <w:rPr>
      <w:rFonts w:asciiTheme="majorHAnsi" w:hAnsiTheme="majorHAnsi" w:eastAsiaTheme="majorEastAsia" w:cstheme="majorBidi"/>
      <w:b/>
      <w:bCs/>
      <w:sz w:val="32"/>
      <w:szCs w:val="32"/>
    </w:rPr>
  </w:style>
  <w:style w:type="character" w:customStyle="1" w:styleId="19">
    <w:name w:val="页眉 字符"/>
    <w:basedOn w:val="14"/>
    <w:link w:val="9"/>
    <w:qFormat/>
    <w:uiPriority w:val="99"/>
    <w:rPr>
      <w:sz w:val="18"/>
      <w:szCs w:val="18"/>
    </w:rPr>
  </w:style>
  <w:style w:type="character" w:customStyle="1" w:styleId="20">
    <w:name w:val="页脚 字符"/>
    <w:basedOn w:val="14"/>
    <w:link w:val="8"/>
    <w:qFormat/>
    <w:uiPriority w:val="99"/>
    <w:rPr>
      <w:sz w:val="18"/>
      <w:szCs w:val="18"/>
    </w:rPr>
  </w:style>
  <w:style w:type="paragraph" w:customStyle="1" w:styleId="21">
    <w:name w:val="列表段落1"/>
    <w:basedOn w:val="1"/>
    <w:link w:val="22"/>
    <w:qFormat/>
    <w:uiPriority w:val="34"/>
    <w:pPr>
      <w:ind w:firstLine="420" w:firstLineChars="200"/>
    </w:pPr>
    <w:rPr>
      <w:rFonts w:ascii="Times New Roman" w:hAnsi="Times New Roman" w:eastAsia="仿宋" w:cs="Times New Roman"/>
      <w:kern w:val="0"/>
      <w:sz w:val="32"/>
      <w:szCs w:val="20"/>
    </w:rPr>
  </w:style>
  <w:style w:type="character" w:customStyle="1" w:styleId="22">
    <w:name w:val="列表段落 字符"/>
    <w:link w:val="21"/>
    <w:qFormat/>
    <w:uiPriority w:val="34"/>
    <w:rPr>
      <w:rFonts w:ascii="Times New Roman" w:hAnsi="Times New Roman" w:eastAsia="仿宋" w:cs="Times New Roman"/>
      <w:kern w:val="0"/>
      <w:sz w:val="32"/>
      <w:szCs w:val="20"/>
    </w:rPr>
  </w:style>
  <w:style w:type="paragraph" w:customStyle="1" w:styleId="23">
    <w:name w:val="TOC 标题1"/>
    <w:basedOn w:val="2"/>
    <w:next w:val="1"/>
    <w:unhideWhenUsed/>
    <w:qFormat/>
    <w:uiPriority w:val="39"/>
    <w:pPr>
      <w:widowControl/>
      <w:spacing w:before="240" w:after="0" w:line="259" w:lineRule="auto"/>
      <w:ind w:left="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4">
    <w:name w:val="批注框文本 字符"/>
    <w:basedOn w:val="14"/>
    <w:link w:val="7"/>
    <w:semiHidden/>
    <w:qFormat/>
    <w:uiPriority w:val="99"/>
    <w:rPr>
      <w:sz w:val="18"/>
      <w:szCs w:val="18"/>
    </w:rPr>
  </w:style>
  <w:style w:type="paragraph" w:customStyle="1" w:styleId="25">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6">
    <w:name w:val="NormalCharacter"/>
    <w:qFormat/>
    <w:uiPriority w:val="0"/>
  </w:style>
  <w:style w:type="character" w:customStyle="1" w:styleId="27">
    <w:name w:val="标题 3 字符"/>
    <w:basedOn w:val="14"/>
    <w:link w:val="4"/>
    <w:semiHidden/>
    <w:qFormat/>
    <w:uiPriority w:val="9"/>
    <w:rPr>
      <w:b/>
      <w:bCs/>
      <w:sz w:val="32"/>
      <w:szCs w:val="32"/>
    </w:rPr>
  </w:style>
  <w:style w:type="character" w:customStyle="1" w:styleId="28">
    <w:name w:val="正文文本 字符"/>
    <w:basedOn w:val="14"/>
    <w:link w:val="6"/>
    <w:qFormat/>
    <w:uiPriority w:val="99"/>
    <w:rPr>
      <w:rFonts w:ascii="Calibri" w:hAnsi="Calibri" w:eastAsia="宋体" w:cs="Times New Roman"/>
      <w:szCs w:val="24"/>
    </w:rPr>
  </w:style>
  <w:style w:type="paragraph" w:customStyle="1" w:styleId="29">
    <w:name w:val="Char Char Char1 Char"/>
    <w:basedOn w:val="2"/>
    <w:qFormat/>
    <w:uiPriority w:val="0"/>
    <w:pPr>
      <w:snapToGrid w:val="0"/>
      <w:spacing w:before="240" w:after="240" w:line="348" w:lineRule="auto"/>
      <w:ind w:left="0"/>
    </w:pPr>
    <w:rPr>
      <w:rFonts w:eastAsia="宋体" w:cs="Times New Roman"/>
      <w:sz w:val="44"/>
    </w:rPr>
  </w:style>
  <w:style w:type="character" w:customStyle="1" w:styleId="30">
    <w:name w:val="批注文字 字符"/>
    <w:basedOn w:val="14"/>
    <w:link w:val="5"/>
    <w:semiHidden/>
    <w:qFormat/>
    <w:uiPriority w:val="99"/>
  </w:style>
  <w:style w:type="character" w:customStyle="1" w:styleId="31">
    <w:name w:val="批注主题 字符"/>
    <w:basedOn w:val="30"/>
    <w:link w:val="12"/>
    <w:semiHidden/>
    <w:qFormat/>
    <w:uiPriority w:val="99"/>
    <w:rPr>
      <w:b/>
      <w:bC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1FA509-719D-4FFE-8B04-957D0A5B961C}">
  <ds:schemaRefs/>
</ds:datastoreItem>
</file>

<file path=docProps/app.xml><?xml version="1.0" encoding="utf-8"?>
<Properties xmlns="http://schemas.openxmlformats.org/officeDocument/2006/extended-properties" xmlns:vt="http://schemas.openxmlformats.org/officeDocument/2006/docPropsVTypes">
  <Template>Normal.dotm</Template>
  <Pages>8</Pages>
  <Words>364</Words>
  <Characters>2075</Characters>
  <Lines>17</Lines>
  <Paragraphs>4</Paragraphs>
  <TotalTime>26</TotalTime>
  <ScaleCrop>false</ScaleCrop>
  <LinksUpToDate>false</LinksUpToDate>
  <CharactersWithSpaces>2435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2021-07-26T07:31:00Z</dcterms:created>
  <dc:creator>微软用户</dc:creator>
  <cp:lastModifiedBy>1</cp:lastModifiedBy>
  <dcterms:modified xsi:type="dcterms:W3CDTF">2021-08-02T02:47:05Z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EE3348EAC21E460BB43EB1F68F50CB76</vt:lpwstr>
  </property>
</Properties>
</file>