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宋体" w:eastAsia="方正小标宋简体" w:cs="仿宋_GB2312"/>
          <w:bCs/>
          <w:color w:val="000000"/>
          <w:kern w:val="0"/>
          <w:sz w:val="72"/>
          <w:szCs w:val="72"/>
          <w:shd w:val="clear" w:color="auto" w:fill="FFFFFF"/>
          <w:lang w:bidi="ar"/>
        </w:rPr>
      </w:pPr>
    </w:p>
    <w:p>
      <w:pPr>
        <w:jc w:val="center"/>
        <w:rPr>
          <w:rFonts w:hint="eastAsia" w:ascii="方正小标宋简体" w:hAnsi="宋体" w:eastAsia="方正小标宋简体" w:cs="仿宋_GB2312"/>
          <w:bCs/>
          <w:color w:val="000000"/>
          <w:kern w:val="0"/>
          <w:sz w:val="72"/>
          <w:szCs w:val="72"/>
          <w:shd w:val="clear" w:color="auto" w:fill="FFFFFF"/>
          <w:lang w:bidi="ar"/>
        </w:rPr>
      </w:pPr>
      <w:r>
        <w:rPr>
          <w:rFonts w:hint="eastAsia" w:ascii="方正小标宋简体" w:hAnsi="宋体" w:eastAsia="方正小标宋简体" w:cs="仿宋_GB2312"/>
          <w:bCs/>
          <w:color w:val="000000"/>
          <w:kern w:val="0"/>
          <w:sz w:val="72"/>
          <w:szCs w:val="72"/>
          <w:shd w:val="clear" w:color="auto" w:fill="FFFFFF"/>
          <w:lang w:bidi="ar"/>
        </w:rPr>
        <w:t>2021年度部门整体支出</w:t>
      </w:r>
    </w:p>
    <w:p>
      <w:pPr>
        <w:jc w:val="both"/>
        <w:rPr>
          <w:rFonts w:hint="eastAsia" w:ascii="方正小标宋简体" w:hAnsi="宋体" w:eastAsia="方正小标宋简体" w:cs="仿宋_GB2312"/>
          <w:bCs/>
          <w:color w:val="000000"/>
          <w:kern w:val="0"/>
          <w:sz w:val="84"/>
          <w:szCs w:val="84"/>
          <w:shd w:val="clear" w:color="auto" w:fill="FFFFFF"/>
          <w:lang w:bidi="ar"/>
        </w:rPr>
      </w:pP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r>
        <w:rPr>
          <w:rFonts w:hint="eastAsia" w:ascii="方正小标宋简体" w:hAnsi="宋体" w:eastAsia="方正小标宋简体" w:cs="仿宋_GB2312"/>
          <w:bCs/>
          <w:color w:val="000000"/>
          <w:kern w:val="0"/>
          <w:sz w:val="84"/>
          <w:szCs w:val="84"/>
          <w:shd w:val="clear" w:color="auto" w:fill="FFFFFF"/>
          <w:lang w:eastAsia="zh-CN" w:bidi="ar"/>
        </w:rPr>
        <w:t>绩</w:t>
      </w: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r>
        <w:rPr>
          <w:rFonts w:hint="eastAsia" w:ascii="方正小标宋简体" w:hAnsi="宋体" w:eastAsia="方正小标宋简体" w:cs="仿宋_GB2312"/>
          <w:bCs/>
          <w:color w:val="000000"/>
          <w:kern w:val="0"/>
          <w:sz w:val="84"/>
          <w:szCs w:val="84"/>
          <w:shd w:val="clear" w:color="auto" w:fill="FFFFFF"/>
          <w:lang w:eastAsia="zh-CN" w:bidi="ar"/>
        </w:rPr>
        <w:t>效</w:t>
      </w: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r>
        <w:rPr>
          <w:rFonts w:hint="eastAsia" w:ascii="方正小标宋简体" w:hAnsi="宋体" w:eastAsia="方正小标宋简体" w:cs="仿宋_GB2312"/>
          <w:bCs/>
          <w:color w:val="000000"/>
          <w:kern w:val="0"/>
          <w:sz w:val="84"/>
          <w:szCs w:val="84"/>
          <w:shd w:val="clear" w:color="auto" w:fill="FFFFFF"/>
          <w:lang w:eastAsia="zh-CN" w:bidi="ar"/>
        </w:rPr>
        <w:t>自</w:t>
      </w: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r>
        <w:rPr>
          <w:rFonts w:hint="eastAsia" w:ascii="方正小标宋简体" w:hAnsi="宋体" w:eastAsia="方正小标宋简体" w:cs="仿宋_GB2312"/>
          <w:bCs/>
          <w:color w:val="000000"/>
          <w:kern w:val="0"/>
          <w:sz w:val="84"/>
          <w:szCs w:val="84"/>
          <w:shd w:val="clear" w:color="auto" w:fill="FFFFFF"/>
          <w:lang w:eastAsia="zh-CN" w:bidi="ar"/>
        </w:rPr>
        <w:t>评</w:t>
      </w: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r>
        <w:rPr>
          <w:rFonts w:hint="eastAsia" w:ascii="方正小标宋简体" w:hAnsi="宋体" w:eastAsia="方正小标宋简体" w:cs="仿宋_GB2312"/>
          <w:bCs/>
          <w:color w:val="000000"/>
          <w:kern w:val="0"/>
          <w:sz w:val="84"/>
          <w:szCs w:val="84"/>
          <w:shd w:val="clear" w:color="auto" w:fill="FFFFFF"/>
          <w:lang w:eastAsia="zh-CN" w:bidi="ar"/>
        </w:rPr>
        <w:t>材</w:t>
      </w: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r>
        <w:rPr>
          <w:rFonts w:hint="eastAsia" w:ascii="方正小标宋简体" w:hAnsi="宋体" w:eastAsia="方正小标宋简体" w:cs="仿宋_GB2312"/>
          <w:bCs/>
          <w:color w:val="000000"/>
          <w:kern w:val="0"/>
          <w:sz w:val="84"/>
          <w:szCs w:val="84"/>
          <w:shd w:val="clear" w:color="auto" w:fill="FFFFFF"/>
          <w:lang w:eastAsia="zh-CN" w:bidi="ar"/>
        </w:rPr>
        <w:t>料</w:t>
      </w:r>
    </w:p>
    <w:p>
      <w:pPr>
        <w:jc w:val="center"/>
        <w:rPr>
          <w:rFonts w:hint="eastAsia" w:ascii="方正小标宋简体" w:hAnsi="宋体" w:eastAsia="方正小标宋简体" w:cs="仿宋_GB2312"/>
          <w:bCs/>
          <w:color w:val="000000"/>
          <w:kern w:val="0"/>
          <w:sz w:val="84"/>
          <w:szCs w:val="84"/>
          <w:shd w:val="clear" w:color="auto" w:fill="FFFFFF"/>
          <w:lang w:eastAsia="zh-CN" w:bidi="ar"/>
        </w:rPr>
      </w:pPr>
    </w:p>
    <w:p>
      <w:pPr>
        <w:jc w:val="both"/>
        <w:rPr>
          <w:rFonts w:hint="eastAsia" w:ascii="方正小标宋简体" w:hAnsi="宋体" w:eastAsia="方正小标宋简体" w:cs="仿宋_GB2312"/>
          <w:bCs/>
          <w:color w:val="000000"/>
          <w:kern w:val="0"/>
          <w:sz w:val="72"/>
          <w:szCs w:val="72"/>
          <w:shd w:val="clear" w:color="auto" w:fill="FFFFFF"/>
          <w:lang w:eastAsia="zh-CN" w:bidi="ar"/>
        </w:rPr>
      </w:pPr>
    </w:p>
    <w:p>
      <w:pPr>
        <w:jc w:val="center"/>
        <w:rPr>
          <w:rFonts w:hint="eastAsia" w:ascii="方正小标宋简体" w:hAnsi="宋体" w:eastAsia="方正小标宋简体" w:cs="仿宋_GB2312"/>
          <w:bCs/>
          <w:color w:val="000000"/>
          <w:kern w:val="0"/>
          <w:sz w:val="36"/>
          <w:szCs w:val="36"/>
          <w:shd w:val="clear" w:color="auto" w:fill="FFFFFF"/>
          <w:lang w:eastAsia="zh-CN" w:bidi="ar"/>
        </w:rPr>
      </w:pPr>
      <w:r>
        <w:rPr>
          <w:rFonts w:hint="eastAsia" w:ascii="方正小标宋简体" w:hAnsi="宋体" w:eastAsia="方正小标宋简体" w:cs="仿宋_GB2312"/>
          <w:bCs/>
          <w:color w:val="000000"/>
          <w:kern w:val="0"/>
          <w:sz w:val="36"/>
          <w:szCs w:val="36"/>
          <w:shd w:val="clear" w:color="auto" w:fill="FFFFFF"/>
          <w:lang w:eastAsia="zh-CN" w:bidi="ar"/>
        </w:rPr>
        <w:t>南昌县人大机关</w:t>
      </w:r>
    </w:p>
    <w:p>
      <w:pPr>
        <w:jc w:val="center"/>
        <w:rPr>
          <w:rFonts w:hint="eastAsia" w:ascii="方正小标宋简体" w:hAnsi="宋体" w:eastAsia="方正小标宋简体" w:cs="仿宋_GB2312"/>
          <w:bCs/>
          <w:color w:val="000000"/>
          <w:kern w:val="0"/>
          <w:sz w:val="36"/>
          <w:szCs w:val="36"/>
          <w:shd w:val="clear" w:color="auto" w:fill="FFFFFF"/>
          <w:lang w:val="en-US" w:eastAsia="zh-CN" w:bidi="ar"/>
        </w:rPr>
      </w:pPr>
      <w:r>
        <w:rPr>
          <w:rFonts w:hint="eastAsia" w:ascii="方正小标宋简体" w:hAnsi="宋体" w:eastAsia="方正小标宋简体" w:cs="仿宋_GB2312"/>
          <w:bCs/>
          <w:color w:val="000000"/>
          <w:kern w:val="0"/>
          <w:sz w:val="36"/>
          <w:szCs w:val="36"/>
          <w:shd w:val="clear" w:color="auto" w:fill="FFFFFF"/>
          <w:lang w:val="en-US" w:eastAsia="zh-CN" w:bidi="ar"/>
        </w:rPr>
        <w:t>2022年3月</w:t>
      </w:r>
    </w:p>
    <w:p>
      <w:pPr>
        <w:jc w:val="both"/>
        <w:rPr>
          <w:rFonts w:hint="default" w:ascii="方正小标宋简体" w:hAnsi="宋体" w:eastAsia="方正小标宋简体" w:cs="仿宋_GB2312"/>
          <w:bCs/>
          <w:color w:val="000000"/>
          <w:kern w:val="0"/>
          <w:sz w:val="36"/>
          <w:szCs w:val="36"/>
          <w:shd w:val="clear" w:color="auto" w:fill="FFFFFF"/>
          <w:lang w:val="en-US" w:eastAsia="zh-CN" w:bidi="ar"/>
        </w:rPr>
      </w:pPr>
      <w:bookmarkStart w:id="0" w:name="_GoBack"/>
      <w:bookmarkEnd w:id="0"/>
    </w:p>
    <w:p>
      <w:pPr>
        <w:rPr>
          <w:rFonts w:hint="eastAsia" w:ascii="黑体" w:eastAsia="黑体"/>
          <w:color w:val="000000"/>
          <w:sz w:val="32"/>
          <w:szCs w:val="32"/>
        </w:rPr>
      </w:pPr>
      <w:r>
        <w:rPr>
          <w:rFonts w:hint="eastAsia" w:ascii="黑体" w:eastAsia="黑体"/>
          <w:color w:val="000000"/>
          <w:sz w:val="32"/>
          <w:szCs w:val="32"/>
        </w:rPr>
        <w:t>附件4：</w:t>
      </w:r>
    </w:p>
    <w:p>
      <w:pPr>
        <w:spacing w:line="240" w:lineRule="exact"/>
        <w:rPr>
          <w:rFonts w:hint="eastAsia" w:ascii="黑体" w:eastAsia="黑体"/>
          <w:color w:val="000000"/>
          <w:sz w:val="32"/>
          <w:szCs w:val="32"/>
        </w:rPr>
      </w:pPr>
    </w:p>
    <w:p>
      <w:pPr>
        <w:jc w:val="center"/>
        <w:rPr>
          <w:rFonts w:hint="eastAsia" w:ascii="方正小标宋简体" w:eastAsia="方正小标宋简体"/>
          <w:bCs/>
          <w:color w:val="000000"/>
          <w:sz w:val="44"/>
          <w:szCs w:val="44"/>
        </w:rPr>
      </w:pPr>
      <w:r>
        <w:rPr>
          <w:rFonts w:hint="eastAsia" w:ascii="方正小标宋简体" w:hAnsi="宋体" w:eastAsia="方正小标宋简体" w:cs="仿宋_GB2312"/>
          <w:bCs/>
          <w:color w:val="000000"/>
          <w:kern w:val="0"/>
          <w:sz w:val="44"/>
          <w:szCs w:val="44"/>
          <w:shd w:val="clear" w:color="auto" w:fill="FFFFFF"/>
          <w:lang w:bidi="ar"/>
        </w:rPr>
        <w:t>2021年度部门整体支出自评情况汇总表</w:t>
      </w:r>
    </w:p>
    <w:tbl>
      <w:tblPr>
        <w:tblStyle w:val="4"/>
        <w:tblW w:w="9787" w:type="dxa"/>
        <w:jc w:val="center"/>
        <w:tblLayout w:type="fixed"/>
        <w:tblCellMar>
          <w:top w:w="0" w:type="dxa"/>
          <w:left w:w="0" w:type="dxa"/>
          <w:bottom w:w="0" w:type="dxa"/>
          <w:right w:w="0" w:type="dxa"/>
        </w:tblCellMar>
      </w:tblPr>
      <w:tblGrid>
        <w:gridCol w:w="701"/>
        <w:gridCol w:w="2540"/>
        <w:gridCol w:w="1403"/>
        <w:gridCol w:w="1334"/>
        <w:gridCol w:w="1096"/>
        <w:gridCol w:w="1384"/>
        <w:gridCol w:w="1329"/>
      </w:tblGrid>
      <w:tr>
        <w:tblPrEx>
          <w:tblCellMar>
            <w:top w:w="0" w:type="dxa"/>
            <w:left w:w="0" w:type="dxa"/>
            <w:bottom w:w="0" w:type="dxa"/>
            <w:right w:w="0" w:type="dxa"/>
          </w:tblCellMar>
        </w:tblPrEx>
        <w:trPr>
          <w:trHeight w:val="775" w:hRule="atLeast"/>
          <w:jc w:val="center"/>
        </w:trPr>
        <w:tc>
          <w:tcPr>
            <w:tcW w:w="3241"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主管部门（盖章）：</w:t>
            </w:r>
          </w:p>
        </w:tc>
        <w:tc>
          <w:tcPr>
            <w:tcW w:w="1403"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713" w:type="dxa"/>
            <w:gridSpan w:val="2"/>
            <w:tcBorders>
              <w:top w:val="nil"/>
              <w:left w:val="nil"/>
              <w:bottom w:val="single" w:color="000000" w:sz="4" w:space="0"/>
              <w:right w:val="nil"/>
            </w:tcBorders>
            <w:noWrap w:val="0"/>
            <w:tcMar>
              <w:top w:w="15" w:type="dxa"/>
              <w:left w:w="15" w:type="dxa"/>
              <w:right w:w="15" w:type="dxa"/>
            </w:tcMar>
            <w:vAlign w:val="center"/>
          </w:tcPr>
          <w:p>
            <w:pPr>
              <w:widowControl/>
              <w:jc w:val="right"/>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单位：万元</w:t>
            </w:r>
          </w:p>
        </w:tc>
      </w:tr>
      <w:tr>
        <w:tblPrEx>
          <w:tblCellMar>
            <w:top w:w="0" w:type="dxa"/>
            <w:left w:w="0" w:type="dxa"/>
            <w:bottom w:w="0" w:type="dxa"/>
            <w:right w:w="0" w:type="dxa"/>
          </w:tblCellMar>
        </w:tblPrEx>
        <w:trPr>
          <w:trHeight w:val="77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序号</w:t>
            </w:r>
          </w:p>
        </w:tc>
        <w:tc>
          <w:tcPr>
            <w:tcW w:w="2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预算单位</w:t>
            </w:r>
          </w:p>
        </w:tc>
        <w:tc>
          <w:tcPr>
            <w:tcW w:w="1403"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预算数</w:t>
            </w:r>
          </w:p>
        </w:tc>
        <w:tc>
          <w:tcPr>
            <w:tcW w:w="13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执行数</w:t>
            </w:r>
          </w:p>
        </w:tc>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执行率</w:t>
            </w: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eastAsia="zh-CN" w:bidi="ar"/>
              </w:rPr>
            </w:pPr>
            <w:r>
              <w:rPr>
                <w:rFonts w:hint="eastAsia" w:ascii="黑体" w:hAnsi="黑体" w:eastAsia="黑体" w:cs="黑体"/>
                <w:color w:val="000000"/>
                <w:kern w:val="0"/>
                <w:sz w:val="24"/>
                <w:lang w:bidi="ar"/>
              </w:rPr>
              <w:t>所属单位</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自评分数</w:t>
            </w:r>
          </w:p>
        </w:tc>
        <w:tc>
          <w:tcPr>
            <w:tcW w:w="13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eastAsia="zh-CN" w:bidi="ar"/>
              </w:rPr>
            </w:pPr>
            <w:r>
              <w:rPr>
                <w:rFonts w:hint="eastAsia" w:ascii="黑体" w:hAnsi="黑体" w:eastAsia="黑体" w:cs="黑体"/>
                <w:color w:val="000000"/>
                <w:kern w:val="0"/>
                <w:sz w:val="24"/>
                <w:lang w:bidi="ar"/>
              </w:rPr>
              <w:t>主管部门</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复核分数</w:t>
            </w:r>
          </w:p>
        </w:tc>
      </w:tr>
      <w:tr>
        <w:tblPrEx>
          <w:tblCellMar>
            <w:top w:w="0" w:type="dxa"/>
            <w:left w:w="0" w:type="dxa"/>
            <w:bottom w:w="0" w:type="dxa"/>
            <w:right w:w="0" w:type="dxa"/>
          </w:tblCellMar>
        </w:tblPrEx>
        <w:trPr>
          <w:trHeight w:val="355"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1</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南昌县人大机关</w:t>
            </w: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1126.00</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1535</w:t>
            </w:r>
            <w:r>
              <w:rPr>
                <w:rFonts w:hint="eastAsia" w:ascii="黑体" w:hAnsi="黑体" w:eastAsia="黑体" w:cs="黑体"/>
                <w:color w:val="000000"/>
                <w:sz w:val="24"/>
                <w:lang w:val="en-US" w:eastAsia="zh-CN"/>
              </w:rPr>
              <w:t>.</w:t>
            </w:r>
            <w:r>
              <w:rPr>
                <w:rFonts w:hint="eastAsia" w:ascii="黑体" w:hAnsi="黑体" w:eastAsia="黑体" w:cs="黑体"/>
                <w:color w:val="000000"/>
                <w:sz w:val="24"/>
              </w:rPr>
              <w:t>46</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136%</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99.8</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r>
              <w:rPr>
                <w:rFonts w:hint="eastAsia" w:ascii="黑体" w:hAnsi="黑体" w:eastAsia="黑体" w:cs="黑体"/>
                <w:color w:val="000000"/>
                <w:sz w:val="24"/>
                <w:lang w:val="en-US" w:eastAsia="zh-CN"/>
              </w:rPr>
              <w:t>99.8</w:t>
            </w: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2</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3</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4</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5</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6</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7</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8</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9</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10</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324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合计</w:t>
            </w: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1126</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1535</w:t>
            </w:r>
            <w:r>
              <w:rPr>
                <w:rFonts w:hint="eastAsia" w:ascii="黑体" w:hAnsi="黑体" w:eastAsia="黑体" w:cs="黑体"/>
                <w:color w:val="000000"/>
                <w:sz w:val="24"/>
                <w:lang w:val="en-US" w:eastAsia="zh-CN"/>
              </w:rPr>
              <w:t>.</w:t>
            </w:r>
            <w:r>
              <w:rPr>
                <w:rFonts w:hint="eastAsia" w:ascii="黑体" w:hAnsi="黑体" w:eastAsia="黑体" w:cs="黑体"/>
                <w:color w:val="000000"/>
                <w:sz w:val="24"/>
              </w:rPr>
              <w:t>46</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rPr>
            </w:pPr>
            <w:r>
              <w:rPr>
                <w:rFonts w:hint="eastAsia" w:ascii="黑体" w:hAnsi="黑体" w:eastAsia="黑体" w:cs="黑体"/>
                <w:color w:val="000000"/>
                <w:sz w:val="24"/>
                <w:lang w:val="en-US" w:eastAsia="zh-CN"/>
              </w:rPr>
              <w:t>136%</w:t>
            </w:r>
          </w:p>
        </w:tc>
        <w:tc>
          <w:tcPr>
            <w:tcW w:w="27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r>
              <w:rPr>
                <w:rFonts w:hint="eastAsia" w:ascii="黑体" w:hAnsi="黑体" w:eastAsia="黑体" w:cs="黑体"/>
                <w:color w:val="000000"/>
                <w:sz w:val="24"/>
                <w:lang w:val="en-US" w:eastAsia="zh-CN"/>
              </w:rPr>
              <w:t>99.8</w:t>
            </w:r>
          </w:p>
        </w:tc>
      </w:tr>
    </w:tbl>
    <w:p>
      <w:pPr>
        <w:widowControl/>
        <w:jc w:val="left"/>
        <w:textAlignment w:val="center"/>
        <w:rPr>
          <w:rFonts w:hint="eastAsia" w:ascii="黑体" w:hAnsi="宋体" w:eastAsia="黑体" w:cs="黑体"/>
          <w:color w:val="000000"/>
          <w:kern w:val="0"/>
          <w:sz w:val="21"/>
          <w:szCs w:val="21"/>
          <w:lang w:eastAsia="zh-CN" w:bidi="ar"/>
        </w:rPr>
      </w:pPr>
      <w:r>
        <w:rPr>
          <w:rFonts w:hint="eastAsia" w:ascii="黑体" w:hAnsi="宋体" w:eastAsia="黑体" w:cs="黑体"/>
          <w:color w:val="000000"/>
          <w:kern w:val="0"/>
          <w:sz w:val="21"/>
          <w:szCs w:val="21"/>
          <w:lang w:bidi="ar"/>
        </w:rPr>
        <w:t>注：此表由各主管部门填报，部门本级绩效自评情况填写在第一行，所属单位自评情况依次往下填写。</w:t>
      </w:r>
    </w:p>
    <w:p>
      <w:pPr>
        <w:widowControl/>
        <w:jc w:val="left"/>
        <w:textAlignment w:val="center"/>
        <w:rPr>
          <w:rFonts w:hint="eastAsia" w:ascii="黑体" w:hAnsi="宋体" w:eastAsia="黑体" w:cs="黑体"/>
          <w:color w:val="000000"/>
          <w:kern w:val="0"/>
          <w:sz w:val="21"/>
          <w:szCs w:val="21"/>
          <w:lang w:eastAsia="zh-CN" w:bidi="ar"/>
        </w:rPr>
        <w:sectPr>
          <w:headerReference r:id="rId3" w:type="default"/>
          <w:footerReference r:id="rId4" w:type="default"/>
          <w:footerReference r:id="rId5" w:type="even"/>
          <w:pgSz w:w="11906" w:h="16838"/>
          <w:pgMar w:top="1134" w:right="1134" w:bottom="1134" w:left="1134" w:header="851" w:footer="992" w:gutter="0"/>
          <w:pgNumType w:fmt="numberInDash"/>
          <w:cols w:space="720" w:num="1"/>
          <w:docGrid w:type="lines" w:linePitch="312" w:charSpace="0"/>
        </w:sectPr>
      </w:pPr>
    </w:p>
    <w:p>
      <w:pPr>
        <w:rPr>
          <w:rFonts w:hint="eastAsia" w:ascii="黑体" w:eastAsia="黑体"/>
          <w:color w:val="000000"/>
          <w:sz w:val="32"/>
          <w:szCs w:val="32"/>
        </w:rPr>
      </w:pPr>
      <w:r>
        <w:rPr>
          <w:rFonts w:hint="eastAsia" w:ascii="黑体" w:eastAsia="黑体"/>
          <w:color w:val="000000"/>
          <w:sz w:val="32"/>
          <w:szCs w:val="32"/>
        </w:rPr>
        <w:t>附件6：</w:t>
      </w:r>
    </w:p>
    <w:p>
      <w:pPr>
        <w:jc w:val="center"/>
        <w:rPr>
          <w:rFonts w:hint="eastAsia" w:ascii="方正小标宋简体" w:hAnsi="方正小标宋简体" w:eastAsia="方正小标宋简体"/>
          <w:bCs/>
          <w:color w:val="000000"/>
          <w:sz w:val="44"/>
        </w:rPr>
      </w:pPr>
      <w:r>
        <w:rPr>
          <w:rFonts w:hint="eastAsia" w:ascii="方正小标宋简体" w:hAnsi="方正小标宋简体" w:eastAsia="方正小标宋简体"/>
          <w:bCs/>
          <w:color w:val="000000"/>
          <w:sz w:val="44"/>
          <w:lang w:eastAsia="zh-CN"/>
        </w:rPr>
        <w:t>南昌县人大机关</w:t>
      </w:r>
      <w:r>
        <w:rPr>
          <w:rFonts w:hint="eastAsia" w:ascii="方正小标宋简体" w:hAnsi="方正小标宋简体" w:eastAsia="方正小标宋简体"/>
          <w:bCs/>
          <w:color w:val="000000"/>
          <w:sz w:val="44"/>
        </w:rPr>
        <w:t>整体支出绩效自评表</w:t>
      </w:r>
    </w:p>
    <w:p>
      <w:pPr>
        <w:jc w:val="center"/>
        <w:rPr>
          <w:rFonts w:hint="eastAsia" w:ascii="楷体_GB2312" w:hAnsi="楷体_GB2312" w:eastAsia="楷体_GB2312"/>
          <w:b/>
          <w:bCs/>
          <w:color w:val="000000"/>
          <w:sz w:val="28"/>
          <w:szCs w:val="28"/>
        </w:rPr>
      </w:pPr>
      <w:r>
        <w:rPr>
          <w:rFonts w:hint="eastAsia" w:ascii="楷体_GB2312" w:hAnsi="楷体_GB2312" w:eastAsia="楷体_GB2312"/>
          <w:b/>
          <w:bCs/>
          <w:color w:val="000000"/>
          <w:sz w:val="28"/>
          <w:szCs w:val="28"/>
        </w:rPr>
        <w:t>（2021年度）</w:t>
      </w:r>
    </w:p>
    <w:tbl>
      <w:tblPr>
        <w:tblStyle w:val="4"/>
        <w:tblpPr w:leftFromText="180" w:rightFromText="180" w:vertAnchor="text" w:tblpXSpec="center" w:tblpY="1"/>
        <w:tblOverlap w:val="never"/>
        <w:tblW w:w="10031" w:type="dxa"/>
        <w:tblInd w:w="0" w:type="dxa"/>
        <w:tblLayout w:type="fixed"/>
        <w:tblCellMar>
          <w:top w:w="0" w:type="dxa"/>
          <w:left w:w="108" w:type="dxa"/>
          <w:bottom w:w="0" w:type="dxa"/>
          <w:right w:w="108" w:type="dxa"/>
        </w:tblCellMar>
      </w:tblPr>
      <w:tblGrid>
        <w:gridCol w:w="742"/>
        <w:gridCol w:w="294"/>
        <w:gridCol w:w="323"/>
        <w:gridCol w:w="2716"/>
        <w:gridCol w:w="336"/>
        <w:gridCol w:w="854"/>
        <w:gridCol w:w="267"/>
        <w:gridCol w:w="557"/>
        <w:gridCol w:w="241"/>
        <w:gridCol w:w="1021"/>
        <w:gridCol w:w="805"/>
        <w:gridCol w:w="763"/>
        <w:gridCol w:w="1112"/>
      </w:tblGrid>
      <w:tr>
        <w:tblPrEx>
          <w:tblCellMar>
            <w:top w:w="0" w:type="dxa"/>
            <w:left w:w="108" w:type="dxa"/>
            <w:bottom w:w="0" w:type="dxa"/>
            <w:right w:w="108" w:type="dxa"/>
          </w:tblCellMar>
        </w:tblPrEx>
        <w:trPr>
          <w:trHeight w:val="703" w:hRule="atLeast"/>
        </w:trPr>
        <w:tc>
          <w:tcPr>
            <w:tcW w:w="135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评价部门</w:t>
            </w:r>
          </w:p>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名称</w:t>
            </w:r>
          </w:p>
        </w:tc>
        <w:tc>
          <w:tcPr>
            <w:tcW w:w="417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lang w:eastAsia="zh-CN"/>
              </w:rPr>
              <w:t>南昌县人大机关</w:t>
            </w:r>
          </w:p>
        </w:tc>
        <w:tc>
          <w:tcPr>
            <w:tcW w:w="26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下属单位个数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w:t>
            </w:r>
          </w:p>
        </w:tc>
      </w:tr>
      <w:tr>
        <w:tblPrEx>
          <w:tblCellMar>
            <w:top w:w="0" w:type="dxa"/>
            <w:left w:w="108" w:type="dxa"/>
            <w:bottom w:w="0" w:type="dxa"/>
            <w:right w:w="108" w:type="dxa"/>
          </w:tblCellMar>
        </w:tblPrEx>
        <w:trPr>
          <w:trHeight w:val="263" w:hRule="atLeast"/>
        </w:trPr>
        <w:tc>
          <w:tcPr>
            <w:tcW w:w="135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整体支出</w:t>
            </w:r>
          </w:p>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规模</w:t>
            </w: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全年预算数</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全年执行数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执行率</w:t>
            </w:r>
          </w:p>
        </w:tc>
      </w:tr>
      <w:tr>
        <w:tblPrEx>
          <w:tblCellMar>
            <w:top w:w="0" w:type="dxa"/>
            <w:left w:w="108" w:type="dxa"/>
            <w:bottom w:w="0" w:type="dxa"/>
            <w:right w:w="108" w:type="dxa"/>
          </w:tblCellMar>
        </w:tblPrEx>
        <w:trPr>
          <w:trHeight w:val="31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资金来源：（1）财政拨款</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1,126.00</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1535</w:t>
            </w:r>
            <w:r>
              <w:rPr>
                <w:rFonts w:hint="eastAsia" w:ascii="黑体" w:hAnsi="黑体" w:eastAsia="黑体" w:cs="黑体"/>
                <w:color w:val="000000"/>
                <w:sz w:val="24"/>
                <w:lang w:val="en-US" w:eastAsia="zh-CN"/>
              </w:rPr>
              <w:t>.</w:t>
            </w:r>
            <w:r>
              <w:rPr>
                <w:rFonts w:hint="eastAsia" w:ascii="黑体" w:hAnsi="黑体" w:eastAsia="黑体" w:cs="黑体"/>
                <w:color w:val="000000"/>
                <w:sz w:val="24"/>
              </w:rPr>
              <w:t>46</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136%</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（2）其他资金</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0</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0</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r>
      <w:tr>
        <w:tblPrEx>
          <w:tblCellMar>
            <w:top w:w="0" w:type="dxa"/>
            <w:left w:w="108" w:type="dxa"/>
            <w:bottom w:w="0" w:type="dxa"/>
            <w:right w:w="108" w:type="dxa"/>
          </w:tblCellMar>
        </w:tblPrEx>
        <w:trPr>
          <w:trHeight w:val="25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资金结构：（1）基本支出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522.50</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1027</w:t>
            </w:r>
            <w:r>
              <w:rPr>
                <w:rFonts w:hint="eastAsia" w:ascii="黑体" w:hAnsi="黑体" w:eastAsia="黑体" w:cs="黑体"/>
                <w:color w:val="000000"/>
                <w:sz w:val="24"/>
                <w:lang w:val="en-US" w:eastAsia="zh-CN"/>
              </w:rPr>
              <w:t>.</w:t>
            </w:r>
            <w:r>
              <w:rPr>
                <w:rFonts w:hint="eastAsia" w:ascii="黑体" w:hAnsi="黑体" w:eastAsia="黑体" w:cs="黑体"/>
                <w:color w:val="000000"/>
                <w:sz w:val="24"/>
              </w:rPr>
              <w:t>07</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196%</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（2）项目支出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603.50</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508</w:t>
            </w:r>
            <w:r>
              <w:rPr>
                <w:rFonts w:hint="eastAsia" w:ascii="黑体" w:hAnsi="黑体" w:eastAsia="黑体" w:cs="黑体"/>
                <w:color w:val="000000"/>
                <w:sz w:val="24"/>
                <w:lang w:val="en-US" w:eastAsia="zh-CN"/>
              </w:rPr>
              <w:t>.</w:t>
            </w:r>
            <w:r>
              <w:rPr>
                <w:rFonts w:hint="eastAsia" w:ascii="黑体" w:hAnsi="黑体" w:eastAsia="黑体" w:cs="黑体"/>
                <w:color w:val="000000"/>
                <w:sz w:val="24"/>
              </w:rPr>
              <w:t>39</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84%</w:t>
            </w:r>
          </w:p>
        </w:tc>
      </w:tr>
      <w:tr>
        <w:tblPrEx>
          <w:tblCellMar>
            <w:top w:w="0" w:type="dxa"/>
            <w:left w:w="108" w:type="dxa"/>
            <w:bottom w:w="0" w:type="dxa"/>
            <w:right w:w="108" w:type="dxa"/>
          </w:tblCellMar>
        </w:tblPrEx>
        <w:trPr>
          <w:trHeight w:val="228" w:hRule="atLeast"/>
        </w:trPr>
        <w:tc>
          <w:tcPr>
            <w:tcW w:w="10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年度总体目标</w:t>
            </w: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年初设定目标</w:t>
            </w: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全年完成情况</w:t>
            </w:r>
          </w:p>
        </w:tc>
      </w:tr>
      <w:tr>
        <w:tblPrEx>
          <w:tblCellMar>
            <w:top w:w="0" w:type="dxa"/>
            <w:left w:w="108" w:type="dxa"/>
            <w:bottom w:w="0" w:type="dxa"/>
            <w:right w:w="108" w:type="dxa"/>
          </w:tblCellMar>
        </w:tblPrEx>
        <w:trPr>
          <w:trHeight w:val="228" w:hRule="atLeast"/>
        </w:trPr>
        <w:tc>
          <w:tcPr>
            <w:tcW w:w="10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136%</w:t>
            </w:r>
          </w:p>
        </w:tc>
      </w:tr>
      <w:tr>
        <w:tblPrEx>
          <w:tblCellMar>
            <w:top w:w="0" w:type="dxa"/>
            <w:left w:w="108" w:type="dxa"/>
            <w:bottom w:w="0" w:type="dxa"/>
            <w:right w:w="108" w:type="dxa"/>
          </w:tblCellMar>
        </w:tblPrEx>
        <w:trPr>
          <w:trHeight w:val="228" w:hRule="atLeast"/>
        </w:trPr>
        <w:tc>
          <w:tcPr>
            <w:tcW w:w="10031"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分解目标自评</w:t>
            </w:r>
          </w:p>
        </w:tc>
      </w:tr>
      <w:tr>
        <w:tblPrEx>
          <w:tblCellMar>
            <w:top w:w="0" w:type="dxa"/>
            <w:left w:w="108" w:type="dxa"/>
            <w:bottom w:w="0" w:type="dxa"/>
            <w:right w:w="108" w:type="dxa"/>
          </w:tblCellMar>
        </w:tblPrEx>
        <w:trPr>
          <w:trHeight w:val="24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一级指标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权重</w:t>
            </w: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二级指标</w:t>
            </w:r>
          </w:p>
        </w:tc>
        <w:tc>
          <w:tcPr>
            <w:tcW w:w="11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三级指标</w:t>
            </w:r>
          </w:p>
        </w:tc>
        <w:tc>
          <w:tcPr>
            <w:tcW w:w="106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年度指标值</w:t>
            </w:r>
          </w:p>
        </w:tc>
        <w:tc>
          <w:tcPr>
            <w:tcW w:w="102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全年完成值</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分值</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得分</w:t>
            </w:r>
          </w:p>
        </w:tc>
        <w:tc>
          <w:tcPr>
            <w:tcW w:w="111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偏差及原因分析</w:t>
            </w:r>
          </w:p>
        </w:tc>
      </w:tr>
      <w:tr>
        <w:tblPrEx>
          <w:tblCellMar>
            <w:top w:w="0" w:type="dxa"/>
            <w:left w:w="108" w:type="dxa"/>
            <w:bottom w:w="0" w:type="dxa"/>
            <w:right w:w="108" w:type="dxa"/>
          </w:tblCellMar>
        </w:tblPrEx>
        <w:trPr>
          <w:trHeight w:val="24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06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1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管理指标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30</w:t>
            </w: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预算编审管理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top"/>
          </w:tcPr>
          <w:p>
            <w:pPr>
              <w:autoSpaceDN w:val="0"/>
              <w:spacing w:line="240" w:lineRule="exact"/>
              <w:jc w:val="left"/>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预算编制完整性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4"/>
                <w:szCs w:val="24"/>
                <w:lang w:val="en-US" w:eastAsia="zh-CN" w:bidi="ar-SA"/>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预算执行管理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预算完成率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部门结转结余资金管理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结转结余率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预决算信息公开管理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预决算信息公开性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部门预算管理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在职人员控制率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政府采购管理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政府采购执行率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资产管理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管理制度健全性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产出指标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25</w:t>
            </w: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数量指标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参会率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98%</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4.9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委员参会请假</w:t>
            </w: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调研比率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质量指标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工作经费比率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学习考察调研比率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时效指标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项目到位及时率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资金拨付及时率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效果指标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35</w:t>
            </w: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经济效益指标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财务监控有效率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社会效益指标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提升履职能力</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98%</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18"/>
                <w:szCs w:val="18"/>
              </w:rPr>
              <w:t>各项工作、履职能力还需继续提高</w:t>
            </w:r>
          </w:p>
        </w:tc>
      </w:tr>
      <w:tr>
        <w:tblPrEx>
          <w:tblCellMar>
            <w:top w:w="0" w:type="dxa"/>
            <w:left w:w="108" w:type="dxa"/>
            <w:bottom w:w="0" w:type="dxa"/>
            <w:right w:w="108" w:type="dxa"/>
          </w:tblCellMar>
        </w:tblPrEx>
        <w:trPr>
          <w:trHeight w:val="31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生态效益指标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民生环境提高</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满意度指标</w:t>
            </w:r>
          </w:p>
        </w:tc>
        <w:tc>
          <w:tcPr>
            <w:tcW w:w="6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10</w:t>
            </w: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工作人员满意度</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sz w:val="24"/>
                <w:szCs w:val="24"/>
              </w:rPr>
            </w:pPr>
            <w:r>
              <w:rPr>
                <w:rFonts w:hint="eastAsia" w:ascii="黑体" w:hAnsi="黑体" w:eastAsia="黑体" w:cs="黑体"/>
                <w:i w:val="0"/>
                <w:iCs w:val="0"/>
                <w:color w:val="000000"/>
                <w:kern w:val="0"/>
                <w:sz w:val="24"/>
                <w:szCs w:val="24"/>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24" w:hRule="atLeast"/>
        </w:trPr>
        <w:tc>
          <w:tcPr>
            <w:tcW w:w="7351"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总分</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99.8</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bl>
    <w:p>
      <w:pPr>
        <w:jc w:val="left"/>
        <w:rPr>
          <w:rFonts w:hint="eastAsia" w:ascii="黑体" w:hAnsi="黑体" w:eastAsia="黑体"/>
          <w:color w:val="000000"/>
          <w:spacing w:val="-4"/>
          <w:sz w:val="21"/>
          <w:szCs w:val="21"/>
        </w:rPr>
      </w:pPr>
      <w:r>
        <w:rPr>
          <w:rFonts w:hint="eastAsia" w:ascii="黑体" w:hAnsi="黑体" w:eastAsia="黑体"/>
          <w:color w:val="000000"/>
          <w:spacing w:val="-4"/>
          <w:sz w:val="21"/>
          <w:szCs w:val="21"/>
        </w:rPr>
        <w:t>说明：1.部门（单位）按照附件5《部门整体支出绩效评价指标体系框架》（参考）设置三级指标；</w:t>
      </w:r>
    </w:p>
    <w:p>
      <w:pPr>
        <w:numPr>
          <w:ilvl w:val="0"/>
          <w:numId w:val="1"/>
        </w:numPr>
        <w:ind w:left="582" w:leftChars="0" w:firstLine="0" w:firstLineChars="0"/>
        <w:jc w:val="left"/>
        <w:rPr>
          <w:rFonts w:hint="eastAsia" w:ascii="黑体" w:hAnsi="黑体" w:eastAsia="黑体"/>
          <w:color w:val="000000"/>
          <w:spacing w:val="-4"/>
          <w:sz w:val="21"/>
          <w:szCs w:val="21"/>
        </w:rPr>
      </w:pPr>
      <w:r>
        <w:rPr>
          <w:rFonts w:hint="eastAsia" w:ascii="黑体" w:hAnsi="黑体" w:eastAsia="黑体"/>
          <w:color w:val="000000"/>
          <w:spacing w:val="-4"/>
          <w:sz w:val="21"/>
          <w:szCs w:val="21"/>
        </w:rPr>
        <w:t>上述产出指标和效益指标根据年初设定的绩效目标既可以按照重点任务完成情况分别填列，也可以依据所有重点任务归纳提炼综合指标。</w:t>
      </w: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left"/>
        <w:rPr>
          <w:rFonts w:hint="eastAsia" w:ascii="黑体" w:hAnsi="黑体" w:eastAsia="黑体"/>
          <w:color w:val="000000"/>
          <w:spacing w:val="-4"/>
          <w:sz w:val="21"/>
          <w:szCs w:val="21"/>
        </w:rPr>
      </w:pPr>
    </w:p>
    <w:p>
      <w:pPr>
        <w:widowControl w:val="0"/>
        <w:numPr>
          <w:ilvl w:val="0"/>
          <w:numId w:val="0"/>
        </w:numPr>
        <w:jc w:val="center"/>
        <w:rPr>
          <w:rFonts w:hint="eastAsia" w:ascii="黑体" w:hAnsi="黑体" w:eastAsia="黑体"/>
          <w:color w:val="000000"/>
          <w:spacing w:val="-4"/>
          <w:sz w:val="36"/>
          <w:szCs w:val="36"/>
        </w:rPr>
      </w:pPr>
      <w:r>
        <w:rPr>
          <w:rFonts w:hint="eastAsia" w:ascii="黑体" w:hAnsi="黑体" w:eastAsia="黑体"/>
          <w:color w:val="000000"/>
          <w:spacing w:val="-4"/>
          <w:sz w:val="36"/>
          <w:szCs w:val="36"/>
        </w:rPr>
        <w:t>202</w:t>
      </w:r>
      <w:r>
        <w:rPr>
          <w:rFonts w:hint="eastAsia" w:ascii="黑体" w:hAnsi="黑体" w:eastAsia="黑体"/>
          <w:color w:val="000000"/>
          <w:spacing w:val="-4"/>
          <w:sz w:val="36"/>
          <w:szCs w:val="36"/>
          <w:lang w:val="en-US" w:eastAsia="zh-CN"/>
        </w:rPr>
        <w:t>1</w:t>
      </w:r>
      <w:r>
        <w:rPr>
          <w:rFonts w:hint="eastAsia" w:ascii="黑体" w:hAnsi="黑体" w:eastAsia="黑体"/>
          <w:color w:val="000000"/>
          <w:spacing w:val="-4"/>
          <w:sz w:val="36"/>
          <w:szCs w:val="36"/>
        </w:rPr>
        <w:t>年度县人大机关整体支出绩效自评报告</w:t>
      </w:r>
    </w:p>
    <w:p>
      <w:pPr>
        <w:widowControl w:val="0"/>
        <w:numPr>
          <w:ilvl w:val="0"/>
          <w:numId w:val="0"/>
        </w:numPr>
        <w:jc w:val="left"/>
        <w:rPr>
          <w:rFonts w:hint="eastAsia"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一、部门（单位）概况</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（一）部门（单位）主要职责职能，组织架构、人员及资产等基本情况。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1、负责县人民代表大会会议、常务委员会会议、主任会议以及县人大常委会名义召开的有关工作会议的筹备、会务和文稿起草等工作。 </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2、负责制发县人大常委会党组、常委会和常委会各工委、专委文件、电报及信函。</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3、负责各类文件、资料、刊物的收发、传阅、呈办和整理、立卷、归档管理。</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4、负责接待处理人民群众来信来访工作，及时向县委、县人大常委会、县政府领导同志反馈重要的信访信息。</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5、负责编辑《南昌县人大常委会会刊》和《人大简讯》，以及县人大常委会机关的理论研究和宣传报道。</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6、主管人大常委会机关的行政经费和财产。</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7、负责县人大常委会从事考核、福利、劳动工资以及机关退休干部的管理工作。</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8、负责县人大常委会机关的基建、房屋水电维修、车辆管理、安全保卫及公务接待等行政事务工作。</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9、负责组织机关人员政治、理论、业务和法律知识学习。</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10、负责协调“一府两院”及县人大常委会机关各工委的有关工作。</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11、组织人大代表评议县“一府两院”的工作。</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left"/>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12、办理县人大常委会任免范围内的干部任免手续。</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部门基本情况：纳入本套部门决算汇编范围的单位共 1个，包括：南昌县人民代表大会常务委员会办公室。</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本部门202</w:t>
      </w:r>
      <w:r>
        <w:rPr>
          <w:rFonts w:hint="eastAsia" w:ascii="仿宋" w:hAnsi="仿宋" w:eastAsia="仿宋" w:cs="仿宋"/>
          <w:color w:val="000000"/>
          <w:spacing w:val="-4"/>
          <w:sz w:val="32"/>
          <w:szCs w:val="32"/>
          <w:lang w:val="en-US" w:eastAsia="zh-CN"/>
        </w:rPr>
        <w:t>1</w:t>
      </w:r>
      <w:r>
        <w:rPr>
          <w:rFonts w:hint="eastAsia" w:ascii="仿宋" w:hAnsi="仿宋" w:eastAsia="仿宋" w:cs="仿宋"/>
          <w:color w:val="000000"/>
          <w:spacing w:val="-4"/>
          <w:sz w:val="32"/>
          <w:szCs w:val="32"/>
        </w:rPr>
        <w:t>年年末编制人数 38人，其中行政编制 33人，事业编制 5人；年末实有人数 3</w:t>
      </w:r>
      <w:r>
        <w:rPr>
          <w:rFonts w:hint="eastAsia" w:ascii="仿宋" w:hAnsi="仿宋" w:eastAsia="仿宋" w:cs="仿宋"/>
          <w:color w:val="000000"/>
          <w:spacing w:val="-4"/>
          <w:sz w:val="32"/>
          <w:szCs w:val="32"/>
          <w:lang w:val="en-US" w:eastAsia="zh-CN"/>
        </w:rPr>
        <w:t>8</w:t>
      </w:r>
      <w:r>
        <w:rPr>
          <w:rFonts w:hint="eastAsia" w:ascii="仿宋" w:hAnsi="仿宋" w:eastAsia="仿宋" w:cs="仿宋"/>
          <w:color w:val="000000"/>
          <w:spacing w:val="-4"/>
          <w:sz w:val="32"/>
          <w:szCs w:val="32"/>
        </w:rPr>
        <w:t>人，其中在职人员 3</w:t>
      </w:r>
      <w:r>
        <w:rPr>
          <w:rFonts w:hint="eastAsia" w:ascii="仿宋" w:hAnsi="仿宋" w:eastAsia="仿宋" w:cs="仿宋"/>
          <w:color w:val="000000"/>
          <w:spacing w:val="-4"/>
          <w:sz w:val="32"/>
          <w:szCs w:val="32"/>
          <w:lang w:val="en-US" w:eastAsia="zh-CN"/>
        </w:rPr>
        <w:t>8</w:t>
      </w:r>
      <w:r>
        <w:rPr>
          <w:rFonts w:hint="eastAsia" w:ascii="仿宋" w:hAnsi="仿宋" w:eastAsia="仿宋" w:cs="仿宋"/>
          <w:color w:val="000000"/>
          <w:spacing w:val="-4"/>
          <w:sz w:val="32"/>
          <w:szCs w:val="32"/>
        </w:rPr>
        <w:t>人，离休人员 0人，退休人员 39人；年末学生人数 0人。</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（二）当年部门（单位）履职总体目标、工作任务。</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w:t>
      </w:r>
      <w:r>
        <w:rPr>
          <w:rFonts w:hint="eastAsia" w:ascii="仿宋" w:hAnsi="仿宋" w:eastAsia="仿宋" w:cs="仿宋"/>
          <w:color w:val="000000"/>
          <w:spacing w:val="-4"/>
          <w:sz w:val="32"/>
          <w:szCs w:val="32"/>
          <w:lang w:val="en-US" w:eastAsia="zh-CN"/>
        </w:rPr>
        <w:t xml:space="preserve">   </w:t>
      </w:r>
      <w:r>
        <w:rPr>
          <w:rFonts w:hint="eastAsia" w:ascii="仿宋" w:hAnsi="仿宋" w:eastAsia="仿宋" w:cs="仿宋"/>
          <w:color w:val="000000"/>
          <w:spacing w:val="-4"/>
          <w:sz w:val="32"/>
          <w:szCs w:val="32"/>
        </w:rPr>
        <w:t>1、以服务发展大局为己任，在履行职权上开创新局面</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在服务全县发展大局、适应经济社会新常态中找准人大工作定位，科学谋划工作思路，推动结构调整和产业升级，全力推进经济转型发展。</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监督重心上有所突出。继续加强对计划、财政、审计等工作的监督，提高计划、预算的严肃性和执行力。强化审计查出问题整改监督；抓好新《预算法》的规范执行，注重做好新要求下全口径预决算审查监督工作中新情况、新问题的探索实践。加强对全县科技基金管理使用情况调研，强化科技基金示范引领作用，着力推动全县战略新兴产业发展，促进经济社会的全面协调可持续发展。开展重大重点项目视察活动，加强对政府投资、融资、引资的重大项目监督，把关项目质量，助推项目建设，增强发展活力。</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监督方式上有所创新。坚持勇于探索，积极实践，充分整合运用调查研究、审议专项工作报告、执法检查、视察、专题询问、质询等方式，促使监督工作由程序性向实质性转变，变事后监督为全程监督，把事前介入、事中参与、事后检查作为监督工作的重要环节，做到环环相连、步步紧扣，着力促进有关方面建立解决问题的长效机制，不断增强人大监督的约束力和权威性，实现法律效果与社会效果的统一。</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监督内涵上有所拓展。坚持围绕县委的中心工作和决策部署，认真贯彻党的路线方针和政策，及时通过人大法定程序把党的主张变成全县人民的共同意志。要坚持监督与支持的有机统一，树立监督也是支持的理念，寓支持于监督之中，把形成合力、推动发展贯穿于依法履职的全过程。助力文明创建工作，开展对城市交通建设管理情况的专题询问，积极破解“出行难”问题，营造文明畅通、安全有序的交通环境。依法行使人事任免权，重视任命后的监督，增强被任命人员的人大意识、法律意识、公仆意识。</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2、以维护和谐稳定为重点，在推动民生改善上谋求新突破</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常委会坚持履职为民,谋民利，解民困，分民忧，不断促进民生持续改善与社会和谐稳定。</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聚焦民生社会事业。坚持协调共享理念，切实增进百姓福祉，对村（社区）文化体育中心和公共文化服务体系、农村通村公路、卫生系统人才引进和管理、第二批中心校建设、县级医院和基层卫生院改扩建等方面的问题进行深入调研，推进基本公共服务均等化；重点关注中小学校学生食堂饮食安全、牲畜屠宰、建筑工程质量监管工作，保障人民群众的健康和生命财产安全；持续关注群众呼声强烈的环境问题，重点对老旧社区整治改造、“河湖长制”工作、湿地保护、基本农田保护区划定等情况开展监督，推动生态宜居城市建设；深入关注民生重点资金分配使用管理督查情况调研，规范项目资金运行，强化项目资金监督；对民族宗教事务现状情况开展调研。</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促进民主法治建设。听取县人民法院关于家事审判方式和工作机制改革试点、县人民检察院关于公诉工作情况报告，促进司法机关公正司法,为社会健康发展提供良好的法制环境。全面开展规范性文件备案审查和农资市场执法检查工作，继续加强对《道路交通安全法》、《农产品质量安全法》等法律法规实施情况的检查，推动全县民主法治建设进程。进一步加强人大信访工作，发挥民意反映、民意表达、民意决策作用的渠道，大力推进和谐社会建设，努力维护群众合法权益，促进社会公平正义。</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3、以汇聚民智民力为根本，在发挥代表作用上实现新提升</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常委会坚持代表主体地位，支持和保障代表依法履职尽责，通过创新活动载体，丰富活动形式，发挥代表桥梁纽带作用，不断激活代表工作活力。</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提升代表履职能力上使韧劲。采取集中培训、外出交流和代表小组学习相结合、系统培训与专题培训相结合、理论辅导与工作实际相结合、专家讲授与代表交流相结合等方式，组织代表进行多形式的学习培训活动。坚持向代表订阅学习资料，及时向代表提供我县经济、文化、社会发展情况，经常性通报人大常委会和“一府两院”重要工作情况，继续邀请代表列席常委会会议，组织代表参加执法检查、视察和调研活动，积极为代表履职创造条件、搭建平台。加大代表履职宣传力度，广泛报道代表风采和代表先进事迹，树立模范典型，积极传播正能量。</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督办代表建议落实上较真劲。引导代表深入开展调查研究，形成较高质量的建议和意见。加强和改进代表建议督办工作，继续坚持常委会全面督办、各委办对口督办的工作机制，对常委会确定的重点意见建议,邀请提出建议的代表,参与视察调研和现场督办。建立代表建议办理工作“台帐”，加强对逐步解决、拟列入计划解决建议的跟踪督办。开展代表“好建议”和“建议办理工作先进单位”评选表彰活动，不断激发和调动代表提建议和建议承办单位的积极性。适时启动代表建议办理情况通报工作，对办理不力、敷衍塞责的部门予以通报批评，推动办理工作由“答复型”向“落实型”转变，切实提高办结率和满意率，不断增强代表建议办理工作实效。</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在丰富代表闭会活动上用闯劲。加强对闭会期间代表活动的组织指导，推动代表活动正常有效开展，不断实现常态化、制度化、规范化。继续完善代表履职登记制度，加强代表联系群众站室建设。规范人大微信公众号管理，强化代表小组活动频率，深化代表之间的联系。发挥人大代表资源优势，探索创新建立人大代表助力扶贫工作平台。进一步完善人大代表述职评议工作，在选区选民中通报闭会期间代表履职活动情况，切实增强代表的责任感与使命感，努力发挥好代表在推进基层民主法治建设中的带动作用。</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4、以增强履职能力为目标，在加强自身建设上争取新进步</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常委会坚持把自身建设摆在突出位置，加强锤炼，提高常委会及机关干部的工作效能和服务水平，大力打造为民务实、敢于担当、作风清廉的地方国家权力机关。</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优化履职环境。扎实推进学习型、服务型、创新型机关建设，创新开设“人大机关讲堂”，定期邀请上级领导专家授课，切实提高县乡人大干部业务水平和研判形势、把握政策的能力。加强与“一府两院”和各部门的工作联系，不定期沉到基层，了解乡镇人大工作情况，对乡镇人大会议和基层站所评议、代表向选民述职、视察、执法检查等活动进行指导，不断提升全县人大工作整体水平，努力为人大工作营造良好的政治环境、监督环境和社会环境。</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完善工作制度。适应新时期、新形势、新任务对人大工作提出的新要求，建立完善程序规范、运行高效、充满活力的工作机制。制定出台人大常委会组成人员守则、专题询问暂行办法，修订完善机关财务管理制度、常委会与乡镇人大联系制度、乡镇人大工作考评办法和细则，确保人大机关高效、有序运转。增强创新意识，坚持问题导向，坚持学教并重，加强人大理论研究工作和调研成果转化应用，推动人大工作与时俱进。</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 xml:space="preserve">    增强队伍活力。进一步加强常委会及机关作风建设，打造一支政治坚定、业务精通、作风正派、纪律严明的人大干部队伍，把坚定制度自信和不断改革创新统一起来，以改革思维创新工作，以法治方式推进工作，保持人大工作的生机与活力，使人大工作更加顺应民心，更能体现民意，更多汇聚民智，推动人大工作不断向前发展。</w:t>
      </w:r>
    </w:p>
    <w:p>
      <w:pPr>
        <w:widowControl w:val="0"/>
        <w:numPr>
          <w:ilvl w:val="0"/>
          <w:numId w:val="0"/>
        </w:numPr>
        <w:jc w:val="left"/>
        <w:rPr>
          <w:rFonts w:hint="eastAsia" w:ascii="仿宋" w:hAnsi="仿宋" w:eastAsia="仿宋" w:cs="仿宋"/>
          <w:color w:val="000000"/>
          <w:spacing w:val="-4"/>
          <w:sz w:val="32"/>
          <w:szCs w:val="32"/>
        </w:rPr>
      </w:pP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（三）当年部门（单位）年度整体支出绩效目标。</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我单位着力以提升财政资金绩效为主线，以绩效目标实现为导向，以财政支出绩效评价为手段，以评价结果应用为保障，建立完善预算绩效管理体系，积极推进预算绩效管理各项工作。</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（四）部门（单位）预算绩效管理开展情况。</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是抓好绩效目标编制，及时报送绩效目标。二是探索绩效跟踪监控，加强过程监控，对已纳入我单位绩效目标管理范畴的项目支出，采取半年报方式采集项目的绩效运行信息。三是深入开展财政支出绩效评价，对整体支出及重点项目支出实施绩效自评和项目核查，在此基础上形成自评报告。四是强化评价结果应用，组织绩效自评和绩效跟踪监控，对发现的问题要求改进，加强评价结果与项目资金安排的衔接。五是健全绩效管理工作机制，明确职责分工，组织专题培训，提高绩效管理工作水平。</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（五）当年部门（单位）预算及执行情况。</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202</w:t>
      </w:r>
      <w:r>
        <w:rPr>
          <w:rFonts w:hint="eastAsia" w:ascii="仿宋" w:hAnsi="仿宋" w:eastAsia="仿宋" w:cs="仿宋"/>
          <w:color w:val="000000"/>
          <w:spacing w:val="-4"/>
          <w:sz w:val="32"/>
          <w:szCs w:val="32"/>
          <w:lang w:val="en-US" w:eastAsia="zh-CN"/>
        </w:rPr>
        <w:t>1</w:t>
      </w:r>
      <w:r>
        <w:rPr>
          <w:rFonts w:hint="eastAsia" w:ascii="仿宋" w:hAnsi="仿宋" w:eastAsia="仿宋" w:cs="仿宋"/>
          <w:color w:val="000000"/>
          <w:spacing w:val="-4"/>
          <w:sz w:val="32"/>
          <w:szCs w:val="32"/>
        </w:rPr>
        <w:t>年全年财政预算1</w:t>
      </w:r>
      <w:r>
        <w:rPr>
          <w:rFonts w:hint="eastAsia" w:ascii="仿宋" w:hAnsi="仿宋" w:eastAsia="仿宋" w:cs="仿宋"/>
          <w:color w:val="000000"/>
          <w:spacing w:val="-4"/>
          <w:sz w:val="32"/>
          <w:szCs w:val="32"/>
          <w:lang w:val="en-US" w:eastAsia="zh-CN"/>
        </w:rPr>
        <w:t>126</w:t>
      </w:r>
      <w:r>
        <w:rPr>
          <w:rFonts w:hint="eastAsia" w:ascii="仿宋" w:hAnsi="仿宋" w:eastAsia="仿宋" w:cs="仿宋"/>
          <w:color w:val="000000"/>
          <w:spacing w:val="-4"/>
          <w:sz w:val="32"/>
          <w:szCs w:val="32"/>
        </w:rPr>
        <w:t>万元，全年执行数1</w:t>
      </w:r>
      <w:r>
        <w:rPr>
          <w:rFonts w:hint="eastAsia" w:ascii="仿宋" w:hAnsi="仿宋" w:eastAsia="仿宋" w:cs="仿宋"/>
          <w:color w:val="000000"/>
          <w:spacing w:val="-4"/>
          <w:sz w:val="32"/>
          <w:szCs w:val="32"/>
          <w:lang w:val="en-US" w:eastAsia="zh-CN"/>
        </w:rPr>
        <w:t>535.46</w:t>
      </w:r>
      <w:r>
        <w:rPr>
          <w:rFonts w:hint="eastAsia" w:ascii="仿宋" w:hAnsi="仿宋" w:eastAsia="仿宋" w:cs="仿宋"/>
          <w:color w:val="000000"/>
          <w:spacing w:val="-4"/>
          <w:sz w:val="32"/>
          <w:szCs w:val="32"/>
        </w:rPr>
        <w:t>，执行率为136%。</w:t>
      </w:r>
    </w:p>
    <w:p>
      <w:pPr>
        <w:widowControl w:val="0"/>
        <w:numPr>
          <w:ilvl w:val="0"/>
          <w:numId w:val="0"/>
        </w:numPr>
        <w:jc w:val="left"/>
        <w:rPr>
          <w:rFonts w:hint="eastAsia"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二、部门（单位）整体支出绩效实现情况</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（一）履职完成情况</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我单位较好地完成了202</w:t>
      </w:r>
      <w:r>
        <w:rPr>
          <w:rFonts w:hint="eastAsia" w:ascii="仿宋" w:hAnsi="仿宋" w:eastAsia="仿宋" w:cs="仿宋"/>
          <w:color w:val="000000"/>
          <w:spacing w:val="-4"/>
          <w:sz w:val="32"/>
          <w:szCs w:val="32"/>
          <w:lang w:val="en-US" w:eastAsia="zh-CN"/>
        </w:rPr>
        <w:t>1</w:t>
      </w:r>
      <w:r>
        <w:rPr>
          <w:rFonts w:hint="eastAsia" w:ascii="仿宋" w:hAnsi="仿宋" w:eastAsia="仿宋" w:cs="仿宋"/>
          <w:color w:val="000000"/>
          <w:spacing w:val="-4"/>
          <w:sz w:val="32"/>
          <w:szCs w:val="32"/>
        </w:rPr>
        <w:t>年初设定的工作任务，各项项目得到有序开展。到年底完成全部项目的100%，资金拨付达到100%，完成项目验收率达到100%。</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（二）社会满意度及可持续性影响</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我单位对全部项目实施和整体社会效益及满意度等各项指标调查，基本情况是群众对项目实施满意度达100%。项目社会效益和经济效益明显，达到了预期效果。</w:t>
      </w:r>
    </w:p>
    <w:p>
      <w:pPr>
        <w:widowControl w:val="0"/>
        <w:numPr>
          <w:ilvl w:val="0"/>
          <w:numId w:val="0"/>
        </w:numPr>
        <w:jc w:val="left"/>
        <w:rPr>
          <w:rFonts w:hint="eastAsia"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三、部门（单位）整体支出绩效中存在问题及改进措施</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（一）主要问题及原因分析</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我单位的预算绩效管理工作虽然取得了一些进展，但是绩效管理工作还存在结果应用不充分、管理还不全面等不足之处。</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（二）改进的方向和具体措施</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lang w:val="en-US" w:eastAsia="zh-CN"/>
        </w:rPr>
        <w:t>1.</w:t>
      </w:r>
      <w:r>
        <w:rPr>
          <w:rFonts w:hint="eastAsia" w:ascii="仿宋" w:hAnsi="仿宋" w:eastAsia="仿宋" w:cs="仿宋"/>
          <w:color w:val="000000"/>
          <w:spacing w:val="-4"/>
          <w:sz w:val="32"/>
          <w:szCs w:val="32"/>
        </w:rPr>
        <w:t>加强制度体系建设。制定行之有效的实施细则有利于强化执行力度、规范执行程序。针对我单位的实际情况，当务之急是总结先进单位和部门的经验和做法，加以推广和改进，使我单位预算绩效管理工作逐步走上制度化和规范化的道路。</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lang w:val="en-US" w:eastAsia="zh-CN"/>
        </w:rPr>
        <w:t>2.</w:t>
      </w:r>
      <w:r>
        <w:rPr>
          <w:rFonts w:hint="eastAsia" w:ascii="仿宋" w:hAnsi="仿宋" w:eastAsia="仿宋" w:cs="仿宋"/>
          <w:color w:val="000000"/>
          <w:spacing w:val="-4"/>
          <w:sz w:val="32"/>
          <w:szCs w:val="32"/>
        </w:rPr>
        <w:t>加强对业务科室的指导。通过组织业务培训、专题会议等形式，提高各科室预算绩效管理水平和操作能力。</w:t>
      </w:r>
    </w:p>
    <w:p>
      <w:pPr>
        <w:widowControl w:val="0"/>
        <w:numPr>
          <w:ilvl w:val="0"/>
          <w:numId w:val="0"/>
        </w:numPr>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(三)制定科学合理的绩效评价体系。</w:t>
      </w:r>
    </w:p>
    <w:p>
      <w:pPr>
        <w:widowControl w:val="0"/>
        <w:numPr>
          <w:ilvl w:val="0"/>
          <w:numId w:val="0"/>
        </w:numPr>
        <w:jc w:val="left"/>
        <w:rPr>
          <w:rFonts w:hint="eastAsia"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四、绩效自评结果拟应用和公开情况</w:t>
      </w:r>
    </w:p>
    <w:p>
      <w:pPr>
        <w:widowControl w:val="0"/>
        <w:numPr>
          <w:ilvl w:val="0"/>
          <w:numId w:val="0"/>
        </w:numPr>
        <w:ind w:firstLine="624" w:firstLineChars="200"/>
        <w:jc w:val="left"/>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我单位根据专项绩效评定指标对各项目量化评价，自评指标得分9</w:t>
      </w:r>
      <w:r>
        <w:rPr>
          <w:rFonts w:hint="eastAsia" w:ascii="仿宋" w:hAnsi="仿宋" w:eastAsia="仿宋" w:cs="仿宋"/>
          <w:color w:val="000000"/>
          <w:spacing w:val="-4"/>
          <w:sz w:val="32"/>
          <w:szCs w:val="32"/>
          <w:lang w:val="en-US" w:eastAsia="zh-CN"/>
        </w:rPr>
        <w:t>9.8</w:t>
      </w:r>
      <w:r>
        <w:rPr>
          <w:rFonts w:hint="eastAsia" w:ascii="仿宋" w:hAnsi="仿宋" w:eastAsia="仿宋" w:cs="仿宋"/>
          <w:color w:val="000000"/>
          <w:spacing w:val="-4"/>
          <w:sz w:val="32"/>
          <w:szCs w:val="32"/>
        </w:rPr>
        <w:t>分。</w:t>
      </w:r>
    </w:p>
    <w:p>
      <w:pPr>
        <w:widowControl w:val="0"/>
        <w:numPr>
          <w:ilvl w:val="0"/>
          <w:numId w:val="0"/>
        </w:numPr>
        <w:jc w:val="left"/>
        <w:rPr>
          <w:rFonts w:hint="eastAsia" w:ascii="仿宋" w:hAnsi="仿宋" w:eastAsia="仿宋" w:cs="仿宋"/>
          <w:color w:val="000000"/>
          <w:spacing w:val="-4"/>
          <w:sz w:val="32"/>
          <w:szCs w:val="32"/>
        </w:rPr>
        <w:sectPr>
          <w:pgSz w:w="11906" w:h="16838"/>
          <w:pgMar w:top="1134" w:right="1134" w:bottom="1134" w:left="1134"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txbxContent>
              </v:textbox>
            </v:shape>
          </w:pict>
        </mc:Fallback>
      </mc:AlternateConten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5772E"/>
    <w:multiLevelType w:val="singleLevel"/>
    <w:tmpl w:val="7D85772E"/>
    <w:lvl w:ilvl="0" w:tentative="0">
      <w:start w:val="2"/>
      <w:numFmt w:val="decimal"/>
      <w:lvlText w:val="%1."/>
      <w:lvlJc w:val="left"/>
      <w:pPr>
        <w:tabs>
          <w:tab w:val="left" w:pos="312"/>
        </w:tabs>
        <w:ind w:left="582"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D6216"/>
    <w:rsid w:val="00D9031B"/>
    <w:rsid w:val="06A25EB8"/>
    <w:rsid w:val="17546EF4"/>
    <w:rsid w:val="1A1D451D"/>
    <w:rsid w:val="2B4901C2"/>
    <w:rsid w:val="377B3039"/>
    <w:rsid w:val="44901B43"/>
    <w:rsid w:val="52575E4D"/>
    <w:rsid w:val="56AA6F99"/>
    <w:rsid w:val="5F0D6216"/>
    <w:rsid w:val="62917610"/>
    <w:rsid w:val="68707504"/>
    <w:rsid w:val="71A877DA"/>
    <w:rsid w:val="7F2546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5043</Words>
  <Characters>5310</Characters>
  <Lines>0</Lines>
  <Paragraphs>0</Paragraphs>
  <TotalTime>5</TotalTime>
  <ScaleCrop>false</ScaleCrop>
  <LinksUpToDate>false</LinksUpToDate>
  <CharactersWithSpaces>5396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2022-04-05T01:36:00Z</dcterms:created>
  <dc:creator>杨洋</dc:creator>
  <cp:lastModifiedBy>杨洋</cp:lastModifiedBy>
  <dcterms:modified xsi:type="dcterms:W3CDTF">2022-04-05T03:13:25Z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C7977A27BA3C49258D6ECBF83A99FF4D</vt:lpwstr>
  </property>
</Properties>
</file>