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02" w:right="602"/>
        <w:jc w:val="center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附件</w:t>
      </w:r>
      <w:r>
        <w:rPr>
          <w:rFonts w:ascii="Arial" w:hAnsi="Arial" w:eastAsia="宋体" w:cs="Arial"/>
          <w:color w:val="333333"/>
          <w:sz w:val="32"/>
          <w:szCs w:val="32"/>
          <w:shd w:val="clear" w:fill="FFFFFF"/>
        </w:rPr>
        <w:t>1</w:t>
      </w:r>
    </w:p>
    <w:tbl>
      <w:tblPr>
        <w:tblStyle w:val="6"/>
        <w:tblW w:w="9464" w:type="dxa"/>
        <w:jc w:val="center"/>
        <w:tblInd w:w="-4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4"/>
        <w:gridCol w:w="82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333333"/>
                <w:sz w:val="40"/>
                <w:szCs w:val="40"/>
              </w:rPr>
              <w:t>政府信息公开情况统计表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ascii="楷体_gb2312" w:hAnsi="楷体_gb2312" w:eastAsia="楷体_gb2312" w:cs="楷体_gb2312"/>
                <w:b/>
                <w:color w:val="333333"/>
                <w:sz w:val="24"/>
                <w:szCs w:val="24"/>
              </w:rPr>
              <w:t>（ 201</w:t>
            </w:r>
            <w:r>
              <w:rPr>
                <w:rStyle w:val="5"/>
                <w:rFonts w:hint="eastAsia" w:ascii="楷体_gb2312" w:hAnsi="楷体_gb2312" w:eastAsia="楷体_gb2312" w:cs="楷体_gb2312"/>
                <w:b/>
                <w:color w:val="333333"/>
                <w:sz w:val="24"/>
                <w:szCs w:val="24"/>
                <w:lang w:val="en-US" w:eastAsia="zh-CN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填报单位（盖章）：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sz w:val="26"/>
                <w:szCs w:val="26"/>
              </w:rPr>
              <w:t>统计指标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color w:val="333333"/>
                <w:sz w:val="26"/>
                <w:szCs w:val="26"/>
              </w:rPr>
              <w:t>单位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color w:val="333333"/>
                <w:sz w:val="26"/>
                <w:szCs w:val="26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一、主动公开情况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ascii="Calibri" w:hAnsi="Calibri" w:eastAsia="Calibri" w:cs="Calibri"/>
                <w:color w:val="333333"/>
                <w:sz w:val="26"/>
                <w:szCs w:val="26"/>
              </w:rPr>
              <w:t>（一）主动公开政府信息数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         </w:t>
            </w:r>
            <w:r>
              <w:rPr>
                <w:rFonts w:hint="default" w:ascii="Calibri" w:hAnsi="Calibri" w:eastAsia="Calibri" w:cs="Calibri"/>
                <w:color w:val="333333"/>
                <w:sz w:val="26"/>
                <w:szCs w:val="26"/>
              </w:rPr>
              <w:t>（不同渠道和方式公开相同信息计1</w:t>
            </w:r>
            <w:r>
              <w:rPr>
                <w:rFonts w:hint="eastAsia" w:ascii="宋体" w:hAnsi="宋体" w:eastAsia="宋体" w:cs="宋体"/>
                <w:color w:val="333333"/>
                <w:sz w:val="26"/>
                <w:szCs w:val="26"/>
              </w:rPr>
              <w:t>条）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6"/>
                <w:szCs w:val="26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其中：主动公开规范性文件数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制发规范性文件总数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（二）通过不同渠道和方式公开政府信息的情况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1.政府公报公开政府信息数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2.政府网站公开政府信息数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6"/>
                <w:szCs w:val="26"/>
                <w:lang w:val="en-US" w:eastAsia="zh-CN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3.政务微博公开政府信息数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4.政务微信公开政府信息数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5.其他方式公开政府信息数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6"/>
                <w:szCs w:val="26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二、回应解读情况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Calibri" w:hAnsi="Calibri" w:eastAsia="Calibri" w:cs="Calibri"/>
                <w:color w:val="333333"/>
                <w:sz w:val="26"/>
                <w:szCs w:val="26"/>
              </w:rPr>
              <w:t>（一）回应公众关注热点或重大舆情数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            </w:t>
            </w:r>
            <w:r>
              <w:rPr>
                <w:rFonts w:hint="default" w:ascii="Calibri" w:hAnsi="Calibri" w:eastAsia="Calibri" w:cs="Calibri"/>
                <w:color w:val="333333"/>
                <w:sz w:val="26"/>
                <w:szCs w:val="26"/>
              </w:rPr>
              <w:t>（不同方式回应同一热点或舆情计1</w:t>
            </w:r>
            <w:r>
              <w:rPr>
                <w:rFonts w:hint="eastAsia" w:ascii="宋体" w:hAnsi="宋体" w:eastAsia="宋体" w:cs="宋体"/>
                <w:color w:val="333333"/>
                <w:sz w:val="26"/>
                <w:szCs w:val="26"/>
              </w:rPr>
              <w:t>次）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（二）通过不同渠道和方式回应解读的情况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1.参加或举办新闻发布公次数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其中：主要负责同志参加新闻发布会次数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2.政府网站在线访谈次数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其中：主要负责同志参加新闻发布会次数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3.政策解读稿件发布数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篇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4.微博微信回应事件数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5.其他方式回应事件数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三、依申请公开情况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（一）收到申请数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1.当面申请数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2.传真申请数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3.网络申请数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4.信函申请数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（二）申请办结数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1.按时办结数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2.延期办结数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（三）申请答复数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1.属于已主动公开范围数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2.同意公开答复数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3.同意部分公开答复数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4.不同意公开答复数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其中 ：涉及国家秘密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涉及商业秘密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涉及个人隐私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危及国家安全、公开安全、经济安全和社会稳定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不是《条例》所指政府信息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法律法规规定的其他情形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5.不属于本行政机关公开数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6.申请信息不存在数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7.告知作出更改补充数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8.告知通过其他途径办理数件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四、行政复议数量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（一）维持具体行政行为数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（二）被依法纠错数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（三）其他情形数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五、行政诉讼数量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（一）维持具体行政行为或者驳回原告诉讼请求数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（二）被依法纠错数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（三）其他情形数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六、举报投诉数量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七、依申请公开信息收取的费用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万元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八、机构建设和保障经费情况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（一）政府信息公开工作专门机构数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个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（二）设置政府信息公开查阅点数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个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（三）从事政府信息公开工作人员数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1、专职人员数（不包括政府公报及政府网站工作人员数）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2、兼职人员数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万元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Style w:val="5"/>
                <w:rFonts w:hint="default" w:ascii="楷体_gb2312" w:hAnsi="楷体_gb2312" w:eastAsia="楷体_gb2312" w:cs="楷体_gb2312"/>
                <w:b/>
                <w:color w:val="333333"/>
                <w:sz w:val="26"/>
                <w:szCs w:val="26"/>
              </w:rPr>
              <w:t>九、政府信息公开会议和培训情况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（一）召开政府信息公开工作会议或专题会议数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（二）举办各类培训班数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（三）接受培训人员数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000000"/>
                <w:sz w:val="26"/>
                <w:szCs w:val="26"/>
              </w:rPr>
              <w:t>人次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仿宋_gb2312" w:hAnsi="仿宋_gb2312" w:eastAsia="仿宋_gb2312" w:cs="仿宋_gb2312"/>
                <w:color w:val="333333"/>
                <w:sz w:val="26"/>
                <w:szCs w:val="26"/>
              </w:rPr>
              <w:t>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00" w:right="300"/>
        <w:jc w:val="center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A4973"/>
    <w:rsid w:val="25EA4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2019-03-06T08:18:00Z</dcterms:created>
  <dc:creator>Administrator</dc:creator>
  <cp:lastModifiedBy>Administrator</cp:lastModifiedBy>
  <dcterms:modified xsi:type="dcterms:W3CDTF">2019-03-06T08:19:52Z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