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rPr>
      </w:pPr>
      <w:r>
        <w:rPr>
          <w:rFonts w:hint="eastAsia" w:ascii="黑体" w:hAnsi="黑体" w:eastAsia="黑体"/>
        </w:rPr>
        <w:t>附3</w:t>
      </w:r>
    </w:p>
    <w:p>
      <w:pPr>
        <w:jc w:val="center"/>
        <w:rPr>
          <w:rFonts w:ascii="Arial" w:hAnsi="Arial" w:eastAsia="宋体" w:cs="Arial"/>
          <w:b/>
          <w:bCs/>
          <w:sz w:val="36"/>
          <w:szCs w:val="36"/>
        </w:rPr>
      </w:pPr>
      <w:r>
        <w:rPr>
          <w:rFonts w:hint="eastAsia" w:ascii="宋体" w:hAnsi="宋体" w:eastAsia="宋体" w:cs="Arial"/>
          <w:b/>
          <w:bCs/>
          <w:sz w:val="36"/>
          <w:szCs w:val="36"/>
          <w:lang w:eastAsia="zh-CN"/>
        </w:rPr>
        <w:t>社保接续</w:t>
      </w:r>
      <w:r>
        <w:rPr>
          <w:rFonts w:hint="eastAsia" w:ascii="宋体" w:hAnsi="宋体" w:eastAsia="宋体" w:cs="Arial"/>
          <w:b/>
          <w:bCs/>
          <w:sz w:val="36"/>
          <w:szCs w:val="36"/>
        </w:rPr>
        <w:t>项目支出</w:t>
      </w:r>
      <w:r>
        <w:rPr>
          <w:rFonts w:ascii="宋体" w:hAnsi="宋体" w:eastAsia="宋体" w:cs="Arial"/>
          <w:b/>
          <w:bCs/>
          <w:sz w:val="36"/>
          <w:szCs w:val="36"/>
        </w:rPr>
        <w:t>绩效</w:t>
      </w:r>
      <w:r>
        <w:rPr>
          <w:rFonts w:hint="eastAsia" w:ascii="宋体" w:hAnsi="宋体" w:eastAsia="宋体" w:cs="Arial"/>
          <w:b/>
          <w:bCs/>
          <w:sz w:val="36"/>
          <w:szCs w:val="36"/>
        </w:rPr>
        <w:t>评价报告</w:t>
      </w:r>
    </w:p>
    <w:p>
      <w:pPr>
        <w:jc w:val="center"/>
        <w:rPr>
          <w:rFonts w:ascii="仿宋_GB2312"/>
          <w:szCs w:val="30"/>
        </w:rPr>
      </w:pPr>
    </w:p>
    <w:p>
      <w:pPr>
        <w:spacing w:line="600" w:lineRule="exact"/>
        <w:ind w:firstLine="640" w:firstLineChars="200"/>
        <w:rPr>
          <w:rFonts w:ascii="黑体" w:hAnsi="黑体" w:eastAsia="黑体"/>
          <w:sz w:val="32"/>
          <w:szCs w:val="32"/>
        </w:rPr>
      </w:pPr>
      <w:bookmarkStart w:id="0" w:name="_GoBack"/>
      <w:r>
        <w:rPr>
          <w:rFonts w:hint="eastAsia" w:ascii="黑体" w:hAnsi="黑体" w:eastAsia="黑体"/>
          <w:sz w:val="32"/>
          <w:szCs w:val="32"/>
        </w:rPr>
        <w:t>一、基本情况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sz w:val="32"/>
          <w:szCs w:val="32"/>
        </w:rPr>
      </w:pPr>
      <w:r>
        <w:rPr>
          <w:rFonts w:hint="eastAsia" w:ascii="仿宋_GB2312"/>
          <w:sz w:val="32"/>
          <w:szCs w:val="32"/>
        </w:rPr>
        <w:t>（一）项目概况。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为保障2019年1月21日《意见》施行前，以政府安排工作方式退出现役的退役士兵的权益，落实好上级有关社会保险接续工作的政策。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根据《南昌市部分退役士兵社会保险接续工作实施方案的通知》（洪办字【2019】61号）文件精神，2020年度部分退役士兵社会保险接续申请办理。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sz w:val="32"/>
          <w:szCs w:val="32"/>
        </w:rPr>
      </w:pPr>
      <w:r>
        <w:rPr>
          <w:rFonts w:hint="eastAsia" w:ascii="仿宋_GB2312"/>
          <w:sz w:val="32"/>
          <w:szCs w:val="32"/>
        </w:rPr>
        <w:t>项目绩效目标。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sz w:val="32"/>
          <w:szCs w:val="32"/>
        </w:rPr>
        <w:t>通过此次绩效评价，</w:t>
      </w:r>
      <w:r>
        <w:rPr>
          <w:rFonts w:hint="eastAsia" w:ascii="仿宋" w:hAnsi="仿宋" w:eastAsia="仿宋" w:cs="仿宋"/>
          <w:color w:val="000000"/>
          <w:sz w:val="32"/>
          <w:szCs w:val="32"/>
        </w:rPr>
        <w:t> 进一步加强了对</w:t>
      </w:r>
      <w:r>
        <w:rPr>
          <w:rFonts w:hint="eastAsia" w:ascii="仿宋" w:hAnsi="仿宋" w:eastAsia="仿宋" w:cs="仿宋"/>
          <w:color w:val="000000"/>
          <w:sz w:val="32"/>
          <w:szCs w:val="32"/>
          <w:lang w:val="en-US" w:eastAsia="zh-CN"/>
        </w:rPr>
        <w:t>部分</w:t>
      </w:r>
      <w:r>
        <w:rPr>
          <w:rFonts w:hint="eastAsia" w:ascii="仿宋" w:hAnsi="仿宋" w:eastAsia="仿宋" w:cs="仿宋"/>
          <w:b w:val="0"/>
          <w:bCs w:val="0"/>
          <w:color w:val="000000"/>
          <w:sz w:val="32"/>
          <w:szCs w:val="32"/>
          <w:lang w:val="en-US" w:eastAsia="zh-CN"/>
        </w:rPr>
        <w:t>退役士兵社会保险接续</w:t>
      </w:r>
      <w:r>
        <w:rPr>
          <w:rFonts w:hint="eastAsia" w:ascii="仿宋" w:hAnsi="仿宋" w:eastAsia="仿宋" w:cs="仿宋"/>
          <w:color w:val="000000"/>
          <w:sz w:val="32"/>
          <w:szCs w:val="32"/>
        </w:rPr>
        <w:t>的</w:t>
      </w:r>
      <w:r>
        <w:rPr>
          <w:rFonts w:hint="eastAsia" w:ascii="仿宋" w:hAnsi="仿宋" w:eastAsia="仿宋" w:cs="仿宋"/>
          <w:color w:val="000000"/>
          <w:sz w:val="32"/>
          <w:szCs w:val="32"/>
          <w:lang w:val="en-US" w:eastAsia="zh-CN"/>
        </w:rPr>
        <w:t>资金</w:t>
      </w:r>
      <w:r>
        <w:rPr>
          <w:rFonts w:hint="eastAsia" w:ascii="仿宋" w:hAnsi="仿宋" w:eastAsia="仿宋" w:cs="仿宋"/>
          <w:color w:val="000000"/>
          <w:sz w:val="32"/>
          <w:szCs w:val="32"/>
        </w:rPr>
        <w:t>管理，确保了财政资金的使用效益，从而促进了社会和谐稳定持续发展。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二、绩效评价工作开展情况</w:t>
      </w:r>
    </w:p>
    <w:p>
      <w:pPr>
        <w:keepNext w:val="0"/>
        <w:keepLines w:val="0"/>
        <w:pageBreakBefore w:val="0"/>
        <w:widowControl w:val="0"/>
        <w:kinsoku/>
        <w:wordWrap/>
        <w:overflowPunct/>
        <w:topLinePunct w:val="0"/>
        <w:autoSpaceDE/>
        <w:autoSpaceDN/>
        <w:bidi w:val="0"/>
        <w:spacing w:line="560" w:lineRule="exact"/>
        <w:ind w:firstLine="752" w:firstLineChars="235"/>
        <w:textAlignment w:val="auto"/>
        <w:rPr>
          <w:rFonts w:hint="eastAsia" w:ascii="仿宋_GB2312"/>
          <w:sz w:val="32"/>
          <w:szCs w:val="32"/>
        </w:rPr>
      </w:pPr>
      <w:r>
        <w:rPr>
          <w:rFonts w:hint="eastAsia" w:ascii="仿宋_GB2312"/>
          <w:sz w:val="32"/>
          <w:szCs w:val="32"/>
        </w:rPr>
        <w:t>（一）绩效评价目的、对象和范围。</w:t>
      </w:r>
    </w:p>
    <w:p>
      <w:pPr>
        <w:keepNext w:val="0"/>
        <w:keepLines w:val="0"/>
        <w:pageBreakBefore w:val="0"/>
        <w:widowControl w:val="0"/>
        <w:kinsoku/>
        <w:wordWrap/>
        <w:overflowPunct/>
        <w:topLinePunct w:val="0"/>
        <w:autoSpaceDE/>
        <w:autoSpaceDN/>
        <w:bidi w:val="0"/>
        <w:spacing w:line="560" w:lineRule="exact"/>
        <w:ind w:firstLine="752" w:firstLineChars="235"/>
        <w:textAlignment w:val="auto"/>
        <w:rPr>
          <w:rFonts w:ascii="仿宋_GB2312"/>
          <w:sz w:val="32"/>
          <w:szCs w:val="32"/>
        </w:rPr>
      </w:pPr>
      <w:r>
        <w:rPr>
          <w:rFonts w:hint="eastAsia" w:ascii="仿宋" w:hAnsi="仿宋" w:eastAsia="仿宋" w:cs="仿宋"/>
          <w:sz w:val="32"/>
          <w:szCs w:val="32"/>
        </w:rPr>
        <w:t>通过绩效评价，科学、客观、公正的对</w:t>
      </w:r>
      <w:r>
        <w:rPr>
          <w:rFonts w:hint="eastAsia" w:ascii="仿宋" w:hAnsi="仿宋" w:eastAsia="仿宋" w:cs="仿宋"/>
          <w:b w:val="0"/>
          <w:bCs w:val="0"/>
          <w:sz w:val="32"/>
          <w:szCs w:val="32"/>
          <w:lang w:val="en-US" w:eastAsia="zh-CN"/>
        </w:rPr>
        <w:t>2019年1月21日退《意见》施行前，以政府安排工作方式退出现役的退役士兵的基本养老和基本医疗保险未参保和断缴补缴</w:t>
      </w:r>
      <w:r>
        <w:rPr>
          <w:rFonts w:hint="eastAsia" w:ascii="仿宋" w:hAnsi="仿宋" w:eastAsia="仿宋" w:cs="仿宋"/>
          <w:sz w:val="32"/>
          <w:szCs w:val="32"/>
        </w:rPr>
        <w:t>资金项目进行整体综合性评价，反映其社会效益，更好地发挥其政策扶持、引导作用。</w:t>
      </w:r>
    </w:p>
    <w:p>
      <w:pPr>
        <w:pStyle w:val="2"/>
        <w:keepNext w:val="0"/>
        <w:keepLines w:val="0"/>
        <w:pageBreakBefore w:val="0"/>
        <w:widowControl w:val="0"/>
        <w:numPr>
          <w:ilvl w:val="0"/>
          <w:numId w:val="1"/>
        </w:numPr>
        <w:kinsoku/>
        <w:wordWrap/>
        <w:overflowPunct/>
        <w:topLinePunct w:val="0"/>
        <w:autoSpaceDE/>
        <w:autoSpaceDN/>
        <w:bidi w:val="0"/>
        <w:spacing w:line="560" w:lineRule="exact"/>
        <w:ind w:left="0" w:leftChars="0" w:firstLine="640" w:firstLineChars="200"/>
        <w:textAlignment w:val="auto"/>
        <w:rPr>
          <w:rFonts w:hint="eastAsia" w:ascii="仿宋_GB2312"/>
          <w:sz w:val="32"/>
          <w:szCs w:val="32"/>
        </w:rPr>
      </w:pPr>
      <w:r>
        <w:rPr>
          <w:rFonts w:hint="eastAsia" w:ascii="仿宋_GB2312"/>
          <w:sz w:val="32"/>
          <w:szCs w:val="32"/>
        </w:rPr>
        <w:t>绩效评价原则、评价指标体系（附表说明）、评价方法、评价标准等。</w:t>
      </w:r>
    </w:p>
    <w:p>
      <w:pPr>
        <w:pStyle w:val="2"/>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 w:hAnsi="仿宋" w:eastAsia="仿宋" w:cs="仿宋"/>
          <w:b/>
          <w:sz w:val="32"/>
          <w:szCs w:val="32"/>
        </w:rPr>
      </w:pPr>
      <w:r>
        <w:rPr>
          <w:rFonts w:hint="eastAsia" w:ascii="仿宋" w:hAnsi="仿宋" w:eastAsia="仿宋" w:cs="仿宋"/>
          <w:sz w:val="32"/>
          <w:szCs w:val="32"/>
        </w:rPr>
        <w:t>1、</w:t>
      </w:r>
      <w:r>
        <w:rPr>
          <w:rFonts w:hint="eastAsia" w:ascii="仿宋" w:hAnsi="仿宋" w:eastAsia="仿宋" w:cs="仿宋"/>
          <w:b/>
          <w:sz w:val="32"/>
          <w:szCs w:val="32"/>
        </w:rPr>
        <w:t>评价原则：</w:t>
      </w:r>
      <w:r>
        <w:rPr>
          <w:rFonts w:hint="eastAsia" w:ascii="仿宋" w:hAnsi="仿宋" w:eastAsia="仿宋" w:cs="仿宋"/>
          <w:sz w:val="32"/>
          <w:szCs w:val="32"/>
        </w:rPr>
        <w:t>一是评估的客观公正性原则。在项目评估中要尊重客观规律，深入调查研究，不带主观随意性，讲求科学性。二是分析的系统性原则。从项目内部要素的内在联系，以及与外部条件的广泛联系入手，进行全面的动态的分析论证。三是评估的效益性原则。投入与产出的效益比例。四是</w:t>
      </w:r>
      <w:r>
        <w:rPr>
          <w:rFonts w:hint="eastAsia" w:ascii="仿宋" w:hAnsi="仿宋" w:eastAsia="仿宋" w:cs="仿宋"/>
          <w:color w:val="000000"/>
          <w:sz w:val="32"/>
          <w:szCs w:val="32"/>
        </w:rPr>
        <w:t>评估方法的规范化原则。所采用的定性和定量分析方法，必须符合客观实际，体现事物的内在联系。五是评估指标的科学性原则。</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sz w:val="32"/>
          <w:szCs w:val="32"/>
        </w:rPr>
        <w:t>2、</w:t>
      </w:r>
      <w:r>
        <w:rPr>
          <w:rFonts w:hint="eastAsia" w:ascii="仿宋" w:hAnsi="仿宋" w:eastAsia="仿宋" w:cs="仿宋"/>
          <w:b/>
          <w:sz w:val="32"/>
          <w:szCs w:val="32"/>
        </w:rPr>
        <w:t>评价依据</w:t>
      </w:r>
      <w:r>
        <w:rPr>
          <w:rFonts w:hint="eastAsia" w:ascii="仿宋" w:hAnsi="仿宋" w:eastAsia="仿宋" w:cs="仿宋"/>
          <w:sz w:val="32"/>
          <w:szCs w:val="32"/>
        </w:rPr>
        <w:t>：</w:t>
      </w:r>
      <w:r>
        <w:rPr>
          <w:rFonts w:hint="eastAsia" w:ascii="仿宋" w:hAnsi="仿宋" w:eastAsia="仿宋" w:cs="仿宋"/>
          <w:b w:val="0"/>
          <w:bCs w:val="0"/>
          <w:sz w:val="32"/>
          <w:szCs w:val="32"/>
          <w:lang w:val="en-US" w:eastAsia="zh-CN"/>
        </w:rPr>
        <w:t>根据《南昌市部分退役士兵社会保险接续工作实施方案的通知》（洪办字【2019】61号）文件精神。</w:t>
      </w:r>
    </w:p>
    <w:p>
      <w:pPr>
        <w:pStyle w:val="2"/>
        <w:keepNext w:val="0"/>
        <w:keepLines w:val="0"/>
        <w:pageBreakBefore w:val="0"/>
        <w:widowControl w:val="0"/>
        <w:kinsoku/>
        <w:wordWrap/>
        <w:overflowPunct/>
        <w:topLinePunct w:val="0"/>
        <w:autoSpaceDE/>
        <w:autoSpaceDN/>
        <w:bidi w:val="0"/>
        <w:spacing w:line="560" w:lineRule="exact"/>
        <w:ind w:firstLine="643"/>
        <w:textAlignment w:val="auto"/>
        <w:rPr>
          <w:rFonts w:ascii="仿宋_GB2312"/>
          <w:sz w:val="32"/>
          <w:szCs w:val="32"/>
        </w:rPr>
      </w:pPr>
      <w:r>
        <w:rPr>
          <w:rFonts w:hint="eastAsia" w:ascii="仿宋" w:hAnsi="仿宋" w:eastAsia="仿宋" w:cs="仿宋"/>
          <w:b/>
          <w:sz w:val="32"/>
          <w:szCs w:val="32"/>
        </w:rPr>
        <w:t>3、评价方法：</w:t>
      </w:r>
      <w:r>
        <w:rPr>
          <w:rFonts w:hint="eastAsia" w:ascii="仿宋" w:hAnsi="仿宋" w:eastAsia="仿宋" w:cs="仿宋"/>
          <w:color w:val="000000"/>
          <w:sz w:val="32"/>
          <w:szCs w:val="32"/>
        </w:rPr>
        <w:t>由县</w:t>
      </w:r>
      <w:r>
        <w:rPr>
          <w:rFonts w:hint="eastAsia" w:ascii="仿宋" w:hAnsi="仿宋" w:eastAsia="仿宋" w:cs="仿宋"/>
          <w:color w:val="000000"/>
          <w:sz w:val="32"/>
          <w:szCs w:val="32"/>
          <w:lang w:eastAsia="zh-CN"/>
        </w:rPr>
        <w:t>退役军人事务局</w:t>
      </w:r>
      <w:r>
        <w:rPr>
          <w:rFonts w:hint="eastAsia" w:ascii="仿宋" w:hAnsi="仿宋" w:eastAsia="仿宋" w:cs="仿宋"/>
          <w:color w:val="000000"/>
          <w:sz w:val="32"/>
          <w:szCs w:val="32"/>
        </w:rPr>
        <w:t>相关人员于对</w:t>
      </w:r>
      <w:r>
        <w:rPr>
          <w:rFonts w:hint="eastAsia" w:ascii="仿宋" w:hAnsi="仿宋" w:eastAsia="仿宋" w:cs="仿宋"/>
          <w:color w:val="000000"/>
          <w:sz w:val="32"/>
          <w:szCs w:val="32"/>
          <w:lang w:val="en-US" w:eastAsia="zh-CN"/>
        </w:rPr>
        <w:t>部分退役士兵社会保险补缴</w:t>
      </w:r>
      <w:r>
        <w:rPr>
          <w:rFonts w:hint="eastAsia" w:ascii="仿宋" w:hAnsi="仿宋" w:eastAsia="仿宋" w:cs="仿宋"/>
          <w:color w:val="000000"/>
          <w:sz w:val="32"/>
          <w:szCs w:val="32"/>
        </w:rPr>
        <w:t>资金项目绩效进行自我评价。收集</w:t>
      </w:r>
      <w:r>
        <w:rPr>
          <w:rFonts w:hint="eastAsia" w:ascii="仿宋" w:hAnsi="仿宋" w:eastAsia="仿宋" w:cs="仿宋"/>
          <w:color w:val="000000"/>
          <w:sz w:val="32"/>
          <w:szCs w:val="32"/>
          <w:lang w:val="en-US" w:eastAsia="zh-CN"/>
        </w:rPr>
        <w:t>退役士兵</w:t>
      </w:r>
      <w:r>
        <w:rPr>
          <w:rFonts w:hint="eastAsia" w:ascii="仿宋" w:hAnsi="仿宋" w:eastAsia="仿宋" w:cs="仿宋"/>
          <w:color w:val="000000"/>
          <w:sz w:val="32"/>
          <w:szCs w:val="32"/>
        </w:rPr>
        <w:t>的相关信息资料，对各项指标进行逐项逐条审核，最终形成绩效自评评价报告。</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sz w:val="32"/>
          <w:szCs w:val="32"/>
        </w:rPr>
      </w:pPr>
      <w:r>
        <w:rPr>
          <w:rFonts w:hint="eastAsia" w:ascii="仿宋_GB2312"/>
          <w:sz w:val="32"/>
          <w:szCs w:val="32"/>
        </w:rPr>
        <w:t>（三）绩效评价工作过程。</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本次绩效评价自评工作分为五个步骤：</w:t>
      </w:r>
    </w:p>
    <w:p>
      <w:pPr>
        <w:pStyle w:val="2"/>
        <w:keepNext w:val="0"/>
        <w:keepLines w:val="0"/>
        <w:pageBreakBefore w:val="0"/>
        <w:widowControl w:val="0"/>
        <w:numPr>
          <w:ilvl w:val="0"/>
          <w:numId w:val="2"/>
        </w:numPr>
        <w:kinsoku/>
        <w:wordWrap/>
        <w:overflowPunct/>
        <w:topLinePunct w:val="0"/>
        <w:autoSpaceDE/>
        <w:autoSpaceDN/>
        <w:bidi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由县</w:t>
      </w:r>
      <w:r>
        <w:rPr>
          <w:rFonts w:hint="eastAsia" w:ascii="仿宋" w:hAnsi="仿宋" w:eastAsia="仿宋" w:cs="仿宋"/>
          <w:sz w:val="32"/>
          <w:szCs w:val="32"/>
          <w:lang w:eastAsia="zh-CN"/>
        </w:rPr>
        <w:t>退役军人事务局</w:t>
      </w:r>
      <w:r>
        <w:rPr>
          <w:rFonts w:hint="eastAsia" w:ascii="仿宋" w:hAnsi="仿宋" w:eastAsia="仿宋" w:cs="仿宋"/>
          <w:sz w:val="32"/>
          <w:szCs w:val="32"/>
        </w:rPr>
        <w:t>牵头成立评价工作小组，制订评价工作方案，为评价提供工作指引和具体安排。</w:t>
      </w:r>
    </w:p>
    <w:p>
      <w:pPr>
        <w:pStyle w:val="2"/>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按照县财政局《南昌县财政局关于印发</w:t>
      </w:r>
      <w:r>
        <w:rPr>
          <w:rFonts w:hint="eastAsia" w:ascii="仿宋" w:hAnsi="仿宋" w:eastAsia="仿宋" w:cs="仿宋"/>
          <w:sz w:val="32"/>
          <w:szCs w:val="32"/>
          <w:lang w:val="en-US" w:eastAsia="zh-CN"/>
        </w:rPr>
        <w:t>&lt;南昌县财政项目支出绩效评价工作管理办法&gt;的通知</w:t>
      </w:r>
      <w:r>
        <w:rPr>
          <w:rFonts w:hint="eastAsia" w:ascii="仿宋" w:hAnsi="仿宋" w:eastAsia="仿宋" w:cs="仿宋"/>
          <w:sz w:val="32"/>
          <w:szCs w:val="32"/>
          <w:lang w:eastAsia="zh-CN"/>
        </w:rPr>
        <w:t>》（南财绩【</w:t>
      </w:r>
      <w:r>
        <w:rPr>
          <w:rFonts w:hint="eastAsia" w:ascii="仿宋" w:hAnsi="仿宋" w:eastAsia="仿宋" w:cs="仿宋"/>
          <w:sz w:val="32"/>
          <w:szCs w:val="32"/>
          <w:lang w:val="en-US" w:eastAsia="zh-CN"/>
        </w:rPr>
        <w:t>2022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1号</w:t>
      </w:r>
      <w:r>
        <w:rPr>
          <w:rFonts w:hint="eastAsia" w:ascii="仿宋" w:hAnsi="仿宋" w:eastAsia="仿宋" w:cs="仿宋"/>
          <w:sz w:val="32"/>
          <w:szCs w:val="32"/>
          <w:lang w:eastAsia="zh-CN"/>
        </w:rPr>
        <w:t>）要求提基础资料。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对项目资金使用、资金管理、绩效实现情况进行自查、提供自评资料。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通过数据核查、实地调研、座谈、询问查证、问卷调查等方式获得资料。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sz w:val="32"/>
          <w:szCs w:val="32"/>
        </w:rPr>
      </w:pPr>
      <w:r>
        <w:rPr>
          <w:rFonts w:hint="eastAsia" w:ascii="仿宋" w:hAnsi="仿宋" w:eastAsia="仿宋" w:cs="仿宋"/>
          <w:color w:val="000000"/>
          <w:kern w:val="0"/>
          <w:sz w:val="32"/>
          <w:szCs w:val="32"/>
          <w:lang w:val="en-US" w:eastAsia="zh-CN"/>
        </w:rPr>
        <w:t>5、</w:t>
      </w:r>
      <w:r>
        <w:rPr>
          <w:rFonts w:hint="eastAsia" w:ascii="仿宋" w:hAnsi="仿宋" w:eastAsia="仿宋" w:cs="仿宋"/>
          <w:color w:val="000000"/>
          <w:kern w:val="0"/>
          <w:sz w:val="32"/>
          <w:szCs w:val="32"/>
        </w:rPr>
        <w:t>总结评价结论，归纳问题，分析原因，提出对策，形成最终自评评价报告。</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三、综合评价情况及评价结论</w:t>
      </w:r>
      <w:r>
        <w:rPr>
          <w:rFonts w:hint="eastAsia" w:ascii="仿宋_GB2312"/>
          <w:color w:val="000000" w:themeColor="text1"/>
          <w:sz w:val="32"/>
          <w:szCs w:val="32"/>
          <w14:textFill>
            <w14:solidFill>
              <w14:schemeClr w14:val="tx1"/>
            </w14:solidFill>
          </w14:textFill>
        </w:rPr>
        <w:t>（附相关评分表）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四、绩效评价指标分析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sz w:val="32"/>
          <w:szCs w:val="32"/>
        </w:rPr>
      </w:pPr>
      <w:r>
        <w:rPr>
          <w:rFonts w:hint="eastAsia" w:ascii="仿宋_GB2312"/>
          <w:sz w:val="32"/>
          <w:szCs w:val="32"/>
        </w:rPr>
        <w:t>（一）项目决策情况。</w:t>
      </w:r>
      <w:r>
        <w:rPr>
          <w:rFonts w:hint="eastAsia" w:ascii="仿宋" w:hAnsi="仿宋" w:eastAsia="仿宋" w:cs="仿宋"/>
          <w:b w:val="0"/>
          <w:bCs w:val="0"/>
          <w:sz w:val="32"/>
          <w:szCs w:val="32"/>
          <w:lang w:val="en-US" w:eastAsia="zh-CN"/>
        </w:rPr>
        <w:t>根据《南昌市部分退役士兵社会保险接续工作实施方案的通知》（洪办字【2019】61号）文件精神，进行部分退役士兵社会保险接续申请办理。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0"/>
        <w:rPr>
          <w:rFonts w:hint="eastAsia" w:ascii="仿宋_GB2312" w:eastAsia="仿宋_GB2312"/>
          <w:sz w:val="32"/>
          <w:szCs w:val="32"/>
          <w:lang w:eastAsia="zh-CN"/>
        </w:rPr>
      </w:pPr>
      <w:r>
        <w:rPr>
          <w:rFonts w:hint="eastAsia" w:ascii="仿宋_GB2312"/>
          <w:sz w:val="32"/>
          <w:szCs w:val="32"/>
        </w:rPr>
        <w:t>（二）项目过程情况。</w:t>
      </w:r>
      <w:r>
        <w:rPr>
          <w:rFonts w:hint="eastAsia" w:ascii="仿宋_GB2312"/>
          <w:sz w:val="32"/>
          <w:szCs w:val="32"/>
          <w:lang w:eastAsia="zh-CN"/>
        </w:rPr>
        <w:t>由人社部门核审，我局核发。</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0"/>
        <w:rPr>
          <w:rFonts w:hint="default" w:ascii="仿宋_GB2312" w:eastAsia="仿宋_GB2312"/>
          <w:sz w:val="32"/>
          <w:szCs w:val="32"/>
          <w:lang w:val="en-US" w:eastAsia="zh-CN"/>
        </w:rPr>
      </w:pPr>
      <w:r>
        <w:rPr>
          <w:rFonts w:hint="eastAsia" w:ascii="仿宋_GB2312"/>
          <w:sz w:val="32"/>
          <w:szCs w:val="32"/>
        </w:rPr>
        <w:t>（三）项目产出情况。</w:t>
      </w:r>
      <w:r>
        <w:rPr>
          <w:rFonts w:hint="eastAsia" w:ascii="仿宋_GB2312"/>
          <w:sz w:val="32"/>
          <w:szCs w:val="32"/>
          <w:lang w:eastAsia="zh-CN"/>
        </w:rPr>
        <w:t>已按政策及时补缴退役士兵社保接续。</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0"/>
        <w:rPr>
          <w:rFonts w:hint="eastAsia" w:ascii="仿宋_GB2312" w:eastAsia="仿宋_GB2312"/>
          <w:sz w:val="32"/>
          <w:szCs w:val="32"/>
          <w:lang w:eastAsia="zh-CN"/>
        </w:rPr>
      </w:pPr>
      <w:r>
        <w:rPr>
          <w:rFonts w:hint="eastAsia" w:ascii="仿宋_GB2312"/>
          <w:sz w:val="32"/>
          <w:szCs w:val="32"/>
        </w:rPr>
        <w:t>（四）项目效益情况。</w:t>
      </w:r>
      <w:r>
        <w:rPr>
          <w:rFonts w:hint="eastAsia" w:ascii="仿宋_GB2312"/>
          <w:sz w:val="32"/>
          <w:szCs w:val="32"/>
          <w:lang w:eastAsia="zh-CN"/>
        </w:rPr>
        <w:t>退役士兵很满意。</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五、主要经验及做法、存在的问题及原因分析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（一）认真落实政策，提高</w:t>
      </w:r>
      <w:r>
        <w:rPr>
          <w:rFonts w:hint="eastAsia" w:ascii="仿宋" w:hAnsi="仿宋" w:eastAsia="仿宋" w:cs="仿宋"/>
          <w:b/>
          <w:sz w:val="32"/>
          <w:szCs w:val="32"/>
          <w:lang w:val="en-US" w:eastAsia="zh-CN"/>
        </w:rPr>
        <w:t>部分退役士兵社会保险接续办结率</w:t>
      </w:r>
      <w:r>
        <w:rPr>
          <w:rFonts w:hint="eastAsia" w:ascii="仿宋" w:hAnsi="仿宋" w:eastAsia="仿宋" w:cs="仿宋"/>
          <w:b/>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color w:val="000000"/>
          <w:kern w:val="0"/>
          <w:sz w:val="32"/>
          <w:szCs w:val="32"/>
        </w:rPr>
        <w:t>我县严格按照</w:t>
      </w:r>
      <w:r>
        <w:rPr>
          <w:rFonts w:hint="eastAsia" w:ascii="仿宋" w:hAnsi="仿宋" w:eastAsia="仿宋" w:cs="仿宋"/>
          <w:b w:val="0"/>
          <w:bCs w:val="0"/>
          <w:sz w:val="32"/>
          <w:szCs w:val="32"/>
          <w:lang w:val="en-US" w:eastAsia="zh-CN"/>
        </w:rPr>
        <w:t>《南昌市部分退役士兵社会保险接续工作实施方案的通知》（洪办字【2019】61号）文件精神。</w:t>
      </w:r>
      <w:r>
        <w:rPr>
          <w:rFonts w:hint="eastAsia" w:ascii="仿宋" w:hAnsi="仿宋" w:eastAsia="仿宋" w:cs="仿宋"/>
          <w:color w:val="000000"/>
          <w:sz w:val="32"/>
          <w:szCs w:val="32"/>
          <w:lang w:val="en-US" w:eastAsia="zh-CN"/>
        </w:rPr>
        <w:t>按照上级规定时间节点完成部分退役士兵社会保险接续。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rPr>
      </w:pPr>
      <w:r>
        <w:rPr>
          <w:rFonts w:hint="eastAsia" w:ascii="仿宋" w:hAnsi="仿宋" w:eastAsia="仿宋" w:cs="仿宋"/>
          <w:b/>
          <w:color w:val="000000"/>
          <w:kern w:val="0"/>
          <w:sz w:val="32"/>
          <w:szCs w:val="32"/>
        </w:rPr>
        <w:t>(二)</w:t>
      </w:r>
      <w:r>
        <w:rPr>
          <w:rFonts w:hint="eastAsia" w:ascii="仿宋" w:hAnsi="仿宋" w:eastAsia="仿宋" w:cs="仿宋"/>
          <w:b/>
          <w:sz w:val="32"/>
          <w:szCs w:val="32"/>
        </w:rPr>
        <w:t xml:space="preserve"> </w:t>
      </w:r>
      <w:r>
        <w:rPr>
          <w:rFonts w:hint="eastAsia" w:ascii="仿宋" w:hAnsi="仿宋" w:eastAsia="仿宋" w:cs="仿宋"/>
          <w:b/>
          <w:sz w:val="32"/>
          <w:szCs w:val="32"/>
          <w:lang w:val="en-US" w:eastAsia="zh-CN"/>
        </w:rPr>
        <w:t>实行阳光操作、</w:t>
      </w:r>
      <w:r>
        <w:rPr>
          <w:rFonts w:hint="eastAsia" w:ascii="仿宋" w:hAnsi="仿宋" w:eastAsia="仿宋" w:cs="仿宋"/>
          <w:b/>
          <w:bCs/>
          <w:sz w:val="32"/>
          <w:szCs w:val="32"/>
          <w:lang w:val="en-US" w:eastAsia="zh-CN"/>
        </w:rPr>
        <w:t>严格落实</w:t>
      </w:r>
      <w:r>
        <w:rPr>
          <w:rFonts w:hint="eastAsia" w:ascii="仿宋" w:hAnsi="仿宋" w:eastAsia="仿宋" w:cs="仿宋"/>
          <w:b/>
          <w:sz w:val="32"/>
          <w:szCs w:val="32"/>
          <w:lang w:val="en-US" w:eastAsia="zh-CN"/>
        </w:rPr>
        <w:t>部分退役士兵社会保险接续政。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b w:val="0"/>
          <w:bCs/>
          <w:color w:val="000000"/>
          <w:kern w:val="0"/>
          <w:sz w:val="32"/>
          <w:szCs w:val="32"/>
          <w:lang w:val="en-US" w:eastAsia="zh-CN"/>
        </w:rPr>
      </w:pPr>
      <w:r>
        <w:rPr>
          <w:rFonts w:hint="eastAsia" w:ascii="仿宋" w:hAnsi="仿宋" w:eastAsia="仿宋" w:cs="仿宋"/>
          <w:b/>
          <w:color w:val="000000"/>
          <w:sz w:val="32"/>
          <w:szCs w:val="32"/>
        </w:rPr>
        <w:t>一是</w:t>
      </w:r>
      <w:r>
        <w:rPr>
          <w:rFonts w:hint="eastAsia" w:ascii="仿宋" w:hAnsi="仿宋" w:eastAsia="仿宋" w:cs="仿宋"/>
          <w:b/>
          <w:color w:val="000000"/>
          <w:kern w:val="0"/>
          <w:sz w:val="32"/>
          <w:szCs w:val="32"/>
          <w:lang w:val="en-US" w:eastAsia="zh-CN"/>
        </w:rPr>
        <w:t>加大宣传</w:t>
      </w:r>
      <w:r>
        <w:rPr>
          <w:rFonts w:hint="eastAsia" w:ascii="仿宋" w:hAnsi="仿宋" w:eastAsia="仿宋" w:cs="仿宋"/>
          <w:b/>
          <w:color w:val="000000"/>
          <w:kern w:val="0"/>
          <w:sz w:val="32"/>
          <w:szCs w:val="32"/>
        </w:rPr>
        <w:t>。</w:t>
      </w:r>
      <w:r>
        <w:rPr>
          <w:rFonts w:hint="eastAsia" w:ascii="仿宋" w:hAnsi="仿宋" w:eastAsia="仿宋" w:cs="仿宋"/>
          <w:b w:val="0"/>
          <w:bCs/>
          <w:color w:val="000000"/>
          <w:kern w:val="0"/>
          <w:sz w:val="32"/>
          <w:szCs w:val="32"/>
          <w:lang w:val="en-US" w:eastAsia="zh-CN"/>
        </w:rPr>
        <w:t>加大对符合部分退役士兵社保险接续政策的人员的宣传；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b/>
          <w:color w:val="000000"/>
          <w:kern w:val="0"/>
          <w:sz w:val="32"/>
          <w:szCs w:val="32"/>
        </w:rPr>
        <w:t>二是</w:t>
      </w:r>
      <w:r>
        <w:rPr>
          <w:rFonts w:hint="eastAsia" w:ascii="仿宋" w:hAnsi="仿宋" w:eastAsia="仿宋" w:cs="仿宋"/>
          <w:b/>
          <w:color w:val="000000"/>
          <w:kern w:val="0"/>
          <w:sz w:val="32"/>
          <w:szCs w:val="32"/>
          <w:lang w:val="en-US" w:eastAsia="zh-CN"/>
        </w:rPr>
        <w:t>及时受理审核</w:t>
      </w:r>
      <w:r>
        <w:rPr>
          <w:rFonts w:hint="eastAsia" w:ascii="仿宋" w:hAnsi="仿宋" w:eastAsia="仿宋" w:cs="仿宋"/>
          <w:color w:val="000000"/>
          <w:sz w:val="32"/>
          <w:szCs w:val="32"/>
          <w:lang w:val="en-US" w:eastAsia="zh-CN"/>
        </w:rPr>
        <w:t>。根据收集资料及时受理申请，认真审核</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确保公平公正。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b/>
          <w:color w:val="000000"/>
          <w:kern w:val="0"/>
          <w:sz w:val="32"/>
          <w:szCs w:val="32"/>
        </w:rPr>
        <w:t>三是</w:t>
      </w:r>
      <w:r>
        <w:rPr>
          <w:rFonts w:hint="eastAsia" w:ascii="仿宋" w:hAnsi="仿宋" w:eastAsia="仿宋" w:cs="仿宋"/>
          <w:b/>
          <w:color w:val="000000"/>
          <w:kern w:val="0"/>
          <w:sz w:val="32"/>
          <w:szCs w:val="32"/>
          <w:lang w:val="en-US" w:eastAsia="zh-CN"/>
        </w:rPr>
        <w:t>解读政策</w:t>
      </w:r>
      <w:r>
        <w:rPr>
          <w:rFonts w:hint="eastAsia" w:ascii="仿宋" w:hAnsi="仿宋" w:eastAsia="仿宋" w:cs="仿宋"/>
          <w:b/>
          <w:color w:val="000000"/>
          <w:kern w:val="0"/>
          <w:sz w:val="32"/>
          <w:szCs w:val="32"/>
        </w:rPr>
        <w:t>。</w:t>
      </w:r>
      <w:r>
        <w:rPr>
          <w:rFonts w:hint="eastAsia" w:ascii="仿宋" w:hAnsi="仿宋" w:eastAsia="仿宋" w:cs="仿宋"/>
          <w:color w:val="000000"/>
          <w:sz w:val="32"/>
          <w:szCs w:val="32"/>
          <w:lang w:val="en-US" w:eastAsia="zh-CN"/>
        </w:rPr>
        <w:t>根据部分退役士兵社会保险接续咨询政策情况，梳理制作了退役士兵社会保险接续宣传手册，做好政策解读。</w:t>
      </w:r>
    </w:p>
    <w:p>
      <w:pPr>
        <w:spacing w:line="600" w:lineRule="exact"/>
        <w:ind w:firstLine="643" w:firstLineChars="200"/>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(三)存在的问题及改进措施</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1、存在问题：</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第一、</w:t>
      </w:r>
      <w:r>
        <w:rPr>
          <w:rFonts w:hint="eastAsia" w:ascii="仿宋" w:hAnsi="仿宋" w:eastAsia="仿宋" w:cs="仿宋"/>
          <w:color w:val="000000"/>
          <w:sz w:val="32"/>
          <w:szCs w:val="32"/>
          <w:lang w:val="en-US" w:eastAsia="zh-CN"/>
        </w:rPr>
        <w:t>宣传力度不够；</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第二</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政策解读不够。</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2、改进措施：</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第一、</w:t>
      </w:r>
      <w:r>
        <w:rPr>
          <w:rFonts w:hint="eastAsia" w:ascii="仿宋" w:hAnsi="仿宋" w:eastAsia="仿宋" w:cs="仿宋"/>
          <w:color w:val="000000"/>
          <w:sz w:val="32"/>
          <w:szCs w:val="32"/>
          <w:lang w:val="en-US" w:eastAsia="zh-CN"/>
        </w:rPr>
        <w:t>加大宣传力度；</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第二、</w:t>
      </w:r>
      <w:r>
        <w:rPr>
          <w:rFonts w:hint="eastAsia" w:ascii="仿宋" w:hAnsi="仿宋" w:eastAsia="仿宋" w:cs="仿宋"/>
          <w:color w:val="000000"/>
          <w:sz w:val="32"/>
          <w:szCs w:val="32"/>
          <w:lang w:val="en-US" w:eastAsia="zh-CN"/>
        </w:rPr>
        <w:t>耐心做好政策解读。</w:t>
      </w:r>
    </w:p>
    <w:p>
      <w:pPr>
        <w:widowControl/>
        <w:snapToGrid w:val="0"/>
        <w:spacing w:line="600" w:lineRule="exact"/>
        <w:ind w:firstLine="630" w:firstLineChars="196"/>
        <w:jc w:val="left"/>
        <w:rPr>
          <w:rFonts w:hint="eastAsia" w:ascii="仿宋" w:hAnsi="仿宋" w:eastAsia="仿宋" w:cs="仿宋"/>
          <w:b/>
          <w:color w:val="000000"/>
          <w:sz w:val="32"/>
          <w:szCs w:val="32"/>
        </w:rPr>
      </w:pPr>
      <w:r>
        <w:rPr>
          <w:rFonts w:hint="eastAsia" w:ascii="仿宋" w:hAnsi="仿宋" w:eastAsia="仿宋" w:cs="仿宋"/>
          <w:b/>
          <w:color w:val="000000"/>
          <w:sz w:val="32"/>
          <w:szCs w:val="32"/>
        </w:rPr>
        <w:t xml:space="preserve"> (四)项目后续工作安排和建议</w:t>
      </w:r>
    </w:p>
    <w:p>
      <w:pPr>
        <w:spacing w:line="60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加强政策宣传。</w:t>
      </w:r>
      <w:r>
        <w:rPr>
          <w:rFonts w:hint="eastAsia" w:ascii="仿宋" w:hAnsi="仿宋" w:eastAsia="仿宋" w:cs="仿宋"/>
          <w:sz w:val="32"/>
          <w:szCs w:val="32"/>
        </w:rPr>
        <w:t>利用各乡镇</w:t>
      </w:r>
      <w:r>
        <w:rPr>
          <w:rFonts w:hint="eastAsia" w:ascii="仿宋" w:hAnsi="仿宋" w:eastAsia="仿宋" w:cs="仿宋"/>
          <w:sz w:val="32"/>
          <w:szCs w:val="32"/>
          <w:lang w:eastAsia="zh-CN"/>
        </w:rPr>
        <w:t>、</w:t>
      </w:r>
      <w:r>
        <w:rPr>
          <w:rFonts w:hint="eastAsia" w:ascii="仿宋" w:hAnsi="仿宋" w:eastAsia="仿宋" w:cs="仿宋"/>
          <w:sz w:val="32"/>
          <w:szCs w:val="32"/>
        </w:rPr>
        <w:t>村、社区（居委会</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退役军人服务站</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积极宣传部分</w:t>
      </w:r>
      <w:r>
        <w:rPr>
          <w:rFonts w:hint="eastAsia" w:ascii="仿宋" w:hAnsi="仿宋" w:eastAsia="仿宋" w:cs="仿宋"/>
          <w:color w:val="000000"/>
          <w:sz w:val="32"/>
          <w:szCs w:val="32"/>
          <w:lang w:val="en-US" w:eastAsia="zh-CN"/>
        </w:rPr>
        <w:t>退役士兵社会保险接续政策</w:t>
      </w:r>
      <w:r>
        <w:rPr>
          <w:rFonts w:hint="eastAsia" w:ascii="仿宋" w:hAnsi="仿宋" w:eastAsia="仿宋" w:cs="仿宋"/>
          <w:sz w:val="32"/>
          <w:szCs w:val="32"/>
        </w:rPr>
        <w:t>，做好</w:t>
      </w:r>
      <w:r>
        <w:rPr>
          <w:rFonts w:hint="eastAsia" w:ascii="仿宋" w:hAnsi="仿宋" w:eastAsia="仿宋" w:cs="仿宋"/>
          <w:sz w:val="32"/>
          <w:szCs w:val="32"/>
          <w:lang w:val="en-US" w:eastAsia="zh-CN"/>
        </w:rPr>
        <w:t>已受理审核人员的补缴工作</w:t>
      </w:r>
      <w:r>
        <w:rPr>
          <w:rFonts w:hint="eastAsia" w:ascii="仿宋" w:hAnsi="仿宋" w:eastAsia="仿宋" w:cs="仿宋"/>
          <w:sz w:val="32"/>
          <w:szCs w:val="32"/>
        </w:rPr>
        <w:t>，接受群众监督。</w:t>
      </w:r>
    </w:p>
    <w:p>
      <w:pPr>
        <w:keepNext w:val="0"/>
        <w:keepLines w:val="0"/>
        <w:pageBreakBefore w:val="0"/>
        <w:widowControl w:val="0"/>
        <w:numPr>
          <w:ilvl w:val="0"/>
          <w:numId w:val="3"/>
        </w:numPr>
        <w:kinsoku/>
        <w:wordWrap/>
        <w:overflowPunct/>
        <w:topLinePunct w:val="0"/>
        <w:autoSpaceDE/>
        <w:autoSpaceDN/>
        <w:bidi w:val="0"/>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有关建议</w:t>
      </w:r>
    </w:p>
    <w:p>
      <w:pPr>
        <w:keepNext w:val="0"/>
        <w:keepLines w:val="0"/>
        <w:pageBreakBefore w:val="0"/>
        <w:widowControl w:val="0"/>
        <w:numPr>
          <w:ilvl w:val="0"/>
          <w:numId w:val="0"/>
        </w:numPr>
        <w:kinsoku/>
        <w:wordWrap/>
        <w:overflowPunct/>
        <w:topLinePunct w:val="0"/>
        <w:autoSpaceDE/>
        <w:autoSpaceDN/>
        <w:bidi w:val="0"/>
        <w:spacing w:line="560" w:lineRule="exact"/>
        <w:textAlignment w:val="auto"/>
        <w:rPr>
          <w:rFonts w:hint="default" w:ascii="黑体" w:hAnsi="黑体" w:eastAsia="黑体"/>
          <w:sz w:val="32"/>
          <w:szCs w:val="32"/>
          <w:lang w:val="en-US" w:eastAsia="zh-CN"/>
        </w:rPr>
      </w:pPr>
      <w:r>
        <w:rPr>
          <w:rFonts w:hint="eastAsia" w:ascii="黑体" w:hAnsi="黑体" w:eastAsia="黑体"/>
          <w:sz w:val="32"/>
          <w:szCs w:val="32"/>
          <w:lang w:val="en-US" w:eastAsia="zh-CN"/>
        </w:rPr>
        <w:t xml:space="preserve">  </w:t>
      </w:r>
      <w:r>
        <w:rPr>
          <w:rFonts w:hint="eastAsia" w:ascii="黑体" w:hAnsi="黑体" w:eastAsia="黑体"/>
          <w:b w:val="0"/>
          <w:bCs w:val="0"/>
          <w:sz w:val="32"/>
          <w:szCs w:val="32"/>
          <w:lang w:val="en-US" w:eastAsia="zh-CN"/>
        </w:rPr>
        <w:t xml:space="preserve">  </w:t>
      </w:r>
      <w:r>
        <w:rPr>
          <w:rFonts w:hint="eastAsia" w:ascii="仿宋" w:hAnsi="仿宋" w:eastAsia="仿宋" w:cs="仿宋"/>
          <w:b w:val="0"/>
          <w:bCs w:val="0"/>
          <w:sz w:val="32"/>
          <w:szCs w:val="32"/>
          <w:lang w:val="en-US" w:eastAsia="zh-CN"/>
        </w:rPr>
        <w:t>无</w:t>
      </w:r>
    </w:p>
    <w:p>
      <w:pPr>
        <w:keepNext w:val="0"/>
        <w:keepLines w:val="0"/>
        <w:pageBreakBefore w:val="0"/>
        <w:widowControl w:val="0"/>
        <w:numPr>
          <w:ilvl w:val="0"/>
          <w:numId w:val="3"/>
        </w:numPr>
        <w:kinsoku/>
        <w:wordWrap/>
        <w:overflowPunct/>
        <w:topLinePunct w:val="0"/>
        <w:autoSpaceDE/>
        <w:autoSpaceDN/>
        <w:bidi w:val="0"/>
        <w:spacing w:line="560" w:lineRule="exact"/>
        <w:ind w:left="0" w:leftChars="0" w:firstLine="640" w:firstLineChars="200"/>
        <w:textAlignment w:val="auto"/>
        <w:rPr>
          <w:rFonts w:hint="eastAsia" w:ascii="黑体" w:hAnsi="黑体" w:eastAsia="黑体"/>
          <w:sz w:val="32"/>
          <w:szCs w:val="32"/>
        </w:rPr>
      </w:pPr>
      <w:r>
        <w:rPr>
          <w:rFonts w:hint="eastAsia" w:ascii="黑体" w:hAnsi="黑体" w:eastAsia="黑体"/>
          <w:sz w:val="32"/>
          <w:szCs w:val="32"/>
        </w:rPr>
        <w:t>其他需要说明的问题</w:t>
      </w:r>
    </w:p>
    <w:p>
      <w:pPr>
        <w:keepNext w:val="0"/>
        <w:keepLines w:val="0"/>
        <w:pageBreakBefore w:val="0"/>
        <w:widowControl w:val="0"/>
        <w:numPr>
          <w:ilvl w:val="0"/>
          <w:numId w:val="0"/>
        </w:numPr>
        <w:kinsoku/>
        <w:wordWrap/>
        <w:overflowPunct/>
        <w:topLinePunct w:val="0"/>
        <w:autoSpaceDE/>
        <w:autoSpaceDN/>
        <w:bidi w:val="0"/>
        <w:spacing w:line="560" w:lineRule="exact"/>
        <w:ind w:leftChars="200"/>
        <w:textAlignment w:val="auto"/>
        <w:rPr>
          <w:rFonts w:hint="eastAsia" w:ascii="黑体" w:hAnsi="黑体" w:eastAsia="黑体"/>
          <w:sz w:val="32"/>
          <w:szCs w:val="32"/>
          <w:lang w:eastAsia="zh-CN"/>
        </w:rPr>
      </w:pPr>
      <w:r>
        <w:rPr>
          <w:rFonts w:hint="eastAsia" w:ascii="仿宋" w:hAnsi="仿宋" w:eastAsia="仿宋" w:cs="仿宋"/>
          <w:sz w:val="32"/>
          <w:szCs w:val="32"/>
          <w:lang w:eastAsia="zh-CN"/>
        </w:rPr>
        <w:t>无</w:t>
      </w:r>
    </w:p>
    <w:bookmarkEnd w:id="0"/>
    <w:p>
      <w:pPr>
        <w:spacing w:line="300" w:lineRule="exact"/>
        <w:rPr>
          <w:rFonts w:hint="eastAsia" w:ascii="黑体" w:hAnsi="黑体" w:eastAsia="黑体"/>
          <w:sz w:val="32"/>
          <w:szCs w:val="32"/>
        </w:rPr>
      </w:pPr>
    </w:p>
    <w:p>
      <w:pPr>
        <w:spacing w:line="300" w:lineRule="exact"/>
        <w:rPr>
          <w:rFonts w:hint="eastAsia" w:ascii="黑体" w:hAnsi="黑体" w:eastAsia="黑体"/>
          <w:sz w:val="32"/>
          <w:szCs w:val="32"/>
        </w:rPr>
      </w:pPr>
    </w:p>
    <w:p>
      <w:pPr>
        <w:spacing w:line="300" w:lineRule="exact"/>
        <w:rPr>
          <w:rFonts w:hint="eastAsia" w:ascii="黑体" w:hAnsi="黑体" w:eastAsia="黑体"/>
          <w:sz w:val="32"/>
          <w:szCs w:val="32"/>
        </w:rPr>
      </w:pPr>
    </w:p>
    <w:p>
      <w:pPr>
        <w:spacing w:line="300" w:lineRule="exact"/>
        <w:rPr>
          <w:rFonts w:hint="eastAsia" w:ascii="黑体" w:hAnsi="黑体" w:eastAsia="黑体"/>
          <w:sz w:val="32"/>
          <w:szCs w:val="32"/>
        </w:rPr>
      </w:pPr>
    </w:p>
    <w:p>
      <w:pPr>
        <w:spacing w:line="300" w:lineRule="exact"/>
        <w:rPr>
          <w:rFonts w:hint="eastAsia" w:ascii="黑体" w:hAnsi="黑体" w:eastAsia="黑体"/>
          <w:sz w:val="32"/>
          <w:szCs w:val="32"/>
        </w:rPr>
      </w:pPr>
    </w:p>
    <w:p>
      <w:pPr>
        <w:spacing w:line="300" w:lineRule="exact"/>
        <w:rPr>
          <w:rFonts w:hint="eastAsia" w:ascii="黑体" w:hAnsi="黑体" w:eastAsia="黑体"/>
          <w:sz w:val="32"/>
          <w:szCs w:val="32"/>
        </w:rPr>
      </w:pPr>
    </w:p>
    <w:p>
      <w:pPr>
        <w:spacing w:line="300" w:lineRule="exact"/>
        <w:rPr>
          <w:rFonts w:hint="eastAsia" w:ascii="黑体" w:hAnsi="黑体" w:eastAsia="黑体"/>
          <w:sz w:val="32"/>
          <w:szCs w:val="32"/>
        </w:rPr>
      </w:pPr>
    </w:p>
    <w:p>
      <w:pPr>
        <w:spacing w:line="300" w:lineRule="exact"/>
        <w:rPr>
          <w:rFonts w:hint="eastAsia" w:ascii="黑体" w:hAnsi="黑体" w:eastAsia="黑体"/>
          <w:sz w:val="32"/>
          <w:szCs w:val="32"/>
        </w:rPr>
      </w:pPr>
    </w:p>
    <w:p>
      <w:pPr>
        <w:spacing w:line="300" w:lineRule="exact"/>
        <w:rPr>
          <w:rFonts w:hint="eastAsia" w:ascii="黑体" w:hAnsi="黑体" w:eastAsia="黑体"/>
          <w:sz w:val="32"/>
          <w:szCs w:val="32"/>
        </w:rPr>
      </w:pPr>
      <w:r>
        <w:rPr>
          <w:rFonts w:hint="eastAsia" w:ascii="黑体" w:hAnsi="黑体" w:eastAsia="黑体"/>
          <w:sz w:val="32"/>
          <w:szCs w:val="32"/>
        </w:rPr>
        <w:t>附1</w:t>
      </w:r>
    </w:p>
    <w:tbl>
      <w:tblPr>
        <w:tblStyle w:val="5"/>
        <w:tblW w:w="9080" w:type="dxa"/>
        <w:jc w:val="center"/>
        <w:tblLayout w:type="fixed"/>
        <w:tblCellMar>
          <w:top w:w="0" w:type="dxa"/>
          <w:left w:w="108" w:type="dxa"/>
          <w:bottom w:w="0" w:type="dxa"/>
          <w:right w:w="108" w:type="dxa"/>
        </w:tblCellMar>
      </w:tblPr>
      <w:tblGrid>
        <w:gridCol w:w="588"/>
        <w:gridCol w:w="980"/>
        <w:gridCol w:w="1112"/>
        <w:gridCol w:w="730"/>
        <w:gridCol w:w="1134"/>
        <w:gridCol w:w="131"/>
        <w:gridCol w:w="1003"/>
        <w:gridCol w:w="851"/>
        <w:gridCol w:w="283"/>
        <w:gridCol w:w="284"/>
        <w:gridCol w:w="425"/>
        <w:gridCol w:w="142"/>
        <w:gridCol w:w="709"/>
        <w:gridCol w:w="708"/>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noWrap w:val="0"/>
            <w:vAlign w:val="top"/>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xml:space="preserve">（ </w:t>
            </w:r>
            <w:r>
              <w:rPr>
                <w:rFonts w:hint="eastAsia" w:ascii="宋体" w:hAnsi="宋体" w:eastAsia="宋体" w:cs="宋体"/>
                <w:kern w:val="0"/>
                <w:sz w:val="22"/>
                <w:szCs w:val="22"/>
                <w:lang w:val="en-US" w:eastAsia="zh-CN"/>
              </w:rPr>
              <w:t>2021</w:t>
            </w:r>
            <w:r>
              <w:rPr>
                <w:rFonts w:hint="eastAsia" w:ascii="宋体" w:hAnsi="宋体" w:eastAsia="宋体" w:cs="宋体"/>
                <w:kern w:val="0"/>
                <w:sz w:val="22"/>
                <w:szCs w:val="22"/>
              </w:rPr>
              <w:t xml:space="preserve"> 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社保接续</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南昌县退役军人事务局</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安置就业军休股</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54.65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5.47</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54.65</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54.65</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597"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1"/>
                <w:szCs w:val="11"/>
              </w:rPr>
            </w:pPr>
            <w:r>
              <w:rPr>
                <w:rFonts w:hint="eastAsia" w:ascii="宋体" w:hAnsi="宋体" w:eastAsia="宋体" w:cs="宋体"/>
                <w:kern w:val="0"/>
                <w:sz w:val="11"/>
                <w:szCs w:val="11"/>
              </w:rPr>
              <w:t>退役士兵达到法定退休年龄时，经相关部门认定的补缴社会保险申请办理表到参保地医疗保险经办机构办理一次性缴费手续。目前医疗保险面临退休人员55人、合计断缴月数2665个月。</w:t>
            </w:r>
          </w:p>
          <w:p>
            <w:pPr>
              <w:widowControl/>
              <w:spacing w:line="240" w:lineRule="exact"/>
              <w:jc w:val="center"/>
              <w:rPr>
                <w:rFonts w:ascii="宋体" w:hAnsi="宋体" w:eastAsia="宋体" w:cs="宋体"/>
                <w:kern w:val="0"/>
                <w:sz w:val="18"/>
                <w:szCs w:val="18"/>
              </w:rPr>
            </w:pP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已完成</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199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199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eastAsia="zh-CN"/>
              </w:rPr>
              <w:t>社保缴纳</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99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指标2：</w:t>
            </w:r>
            <w:r>
              <w:rPr>
                <w:rFonts w:hint="eastAsia" w:ascii="宋体" w:hAnsi="宋体" w:eastAsia="宋体" w:cs="宋体"/>
                <w:color w:val="000000"/>
                <w:kern w:val="0"/>
                <w:sz w:val="18"/>
                <w:szCs w:val="18"/>
                <w:lang w:eastAsia="zh-CN"/>
              </w:rPr>
              <w:t>医保缴纳</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99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199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5"/>
                <w:szCs w:val="15"/>
                <w:lang w:eastAsia="zh-CN"/>
              </w:rPr>
              <w:t>下拨经费符合政策</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4</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99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r>
              <w:rPr>
                <w:rFonts w:hint="eastAsia" w:ascii="宋体" w:hAnsi="宋体" w:eastAsia="宋体" w:cs="宋体"/>
                <w:color w:val="000000"/>
                <w:kern w:val="0"/>
                <w:sz w:val="18"/>
                <w:szCs w:val="18"/>
                <w:lang w:eastAsia="zh-CN"/>
              </w:rPr>
              <w:t>规定比率</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4</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99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199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5"/>
                <w:szCs w:val="15"/>
                <w:lang w:eastAsia="zh-CN"/>
              </w:rPr>
              <w:t>社保及时拨付率费</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8</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99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r>
              <w:rPr>
                <w:rFonts w:hint="eastAsia" w:ascii="宋体" w:hAnsi="宋体" w:eastAsia="宋体" w:cs="宋体"/>
                <w:color w:val="000000"/>
                <w:kern w:val="0"/>
                <w:sz w:val="15"/>
                <w:szCs w:val="15"/>
                <w:lang w:eastAsia="zh-CN"/>
              </w:rPr>
              <w:t>医保及时拨付率</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99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199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3"/>
                <w:szCs w:val="13"/>
                <w:lang w:eastAsia="zh-CN"/>
              </w:rPr>
              <w:t>完成退役士兵社保补缴</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99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r>
              <w:rPr>
                <w:rFonts w:hint="eastAsia" w:ascii="宋体" w:hAnsi="宋体" w:eastAsia="宋体" w:cs="宋体"/>
                <w:color w:val="000000"/>
                <w:kern w:val="0"/>
                <w:sz w:val="13"/>
                <w:szCs w:val="13"/>
                <w:lang w:eastAsia="zh-CN"/>
              </w:rPr>
              <w:t>完成退役士兵医保补缴</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99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99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val="en-US" w:eastAsia="zh-CN"/>
              </w:rPr>
              <w:t>/</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99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r>
              <w:rPr>
                <w:rFonts w:hint="eastAsia" w:ascii="宋体" w:hAnsi="宋体" w:eastAsia="宋体" w:cs="宋体"/>
                <w:color w:val="000000"/>
                <w:kern w:val="0"/>
                <w:sz w:val="18"/>
                <w:szCs w:val="18"/>
                <w:lang w:val="en-US" w:eastAsia="zh-CN"/>
              </w:rPr>
              <w:t>/</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99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99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eastAsia="zh-CN"/>
              </w:rPr>
              <w:t>落实政策</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99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r>
              <w:rPr>
                <w:rFonts w:hint="eastAsia" w:ascii="宋体" w:hAnsi="宋体" w:eastAsia="宋体" w:cs="宋体"/>
                <w:color w:val="000000"/>
                <w:kern w:val="0"/>
                <w:sz w:val="18"/>
                <w:szCs w:val="18"/>
                <w:lang w:eastAsia="zh-CN"/>
              </w:rPr>
              <w:t>落实政策</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99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99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eastAsia="zh-CN"/>
              </w:rPr>
              <w:t>退役士兵影响好</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3</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99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r>
              <w:rPr>
                <w:rFonts w:hint="eastAsia" w:ascii="宋体" w:hAnsi="宋体" w:eastAsia="宋体" w:cs="宋体"/>
                <w:color w:val="000000"/>
                <w:kern w:val="0"/>
                <w:sz w:val="18"/>
                <w:szCs w:val="18"/>
                <w:lang w:eastAsia="zh-CN"/>
              </w:rPr>
              <w:t>效果好</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4</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99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199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5"/>
                <w:szCs w:val="15"/>
                <w:lang w:eastAsia="zh-CN"/>
              </w:rPr>
              <w:t>全县退役士兵需要</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4</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99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r>
              <w:rPr>
                <w:rFonts w:hint="eastAsia" w:ascii="宋体" w:hAnsi="宋体" w:eastAsia="宋体" w:cs="宋体"/>
                <w:color w:val="000000"/>
                <w:kern w:val="0"/>
                <w:sz w:val="18"/>
                <w:szCs w:val="18"/>
                <w:lang w:eastAsia="zh-CN"/>
              </w:rPr>
              <w:t>促进社会和谐</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99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199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eastAsia="zh-CN"/>
              </w:rPr>
              <w:t>满意率</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4</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99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3"/>
                <w:szCs w:val="13"/>
                <w:lang w:eastAsia="zh-CN"/>
              </w:rPr>
              <w:t>全县退役士兵满意率</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pPr>
          </w:p>
        </w:tc>
        <w:tc>
          <w:tcPr>
            <w:tcW w:w="1112"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pPr>
          </w:p>
        </w:tc>
        <w:tc>
          <w:tcPr>
            <w:tcW w:w="1995" w:type="dxa"/>
            <w:gridSpan w:val="3"/>
            <w:tcBorders>
              <w:left w:val="single" w:color="auto" w:sz="4" w:space="0"/>
              <w:bottom w:val="single" w:color="auto" w:sz="4" w:space="0"/>
              <w:right w:val="single" w:color="auto" w:sz="4" w:space="0"/>
            </w:tcBorders>
            <w:noWrap w:val="0"/>
            <w:vAlign w:val="center"/>
          </w:tcPr>
          <w:p>
            <w:pPr>
              <w:widowControl/>
              <w:spacing w:line="240" w:lineRule="exact"/>
              <w:jc w:val="left"/>
            </w:pPr>
            <w:r>
              <w:rPr>
                <w:rFonts w:hint="eastAsia" w:ascii="宋体" w:hAnsi="宋体" w:eastAsia="宋体" w:cs="宋体"/>
                <w:color w:val="000000"/>
                <w:kern w:val="0"/>
                <w:sz w:val="18"/>
                <w:szCs w:val="18"/>
              </w:rPr>
              <w:t>……</w:t>
            </w:r>
          </w:p>
        </w:tc>
        <w:tc>
          <w:tcPr>
            <w:tcW w:w="1003" w:type="dxa"/>
            <w:tcBorders>
              <w:left w:val="single" w:color="auto" w:sz="4" w:space="0"/>
              <w:bottom w:val="single" w:color="auto" w:sz="4" w:space="0"/>
              <w:right w:val="single" w:color="auto" w:sz="4" w:space="0"/>
            </w:tcBorders>
            <w:noWrap w:val="0"/>
            <w:vAlign w:val="center"/>
          </w:tcPr>
          <w:p>
            <w:pPr>
              <w:widowControl/>
              <w:spacing w:line="240" w:lineRule="exact"/>
              <w:jc w:val="center"/>
            </w:pPr>
          </w:p>
        </w:tc>
        <w:tc>
          <w:tcPr>
            <w:tcW w:w="851" w:type="dxa"/>
            <w:tcBorders>
              <w:left w:val="single" w:color="auto" w:sz="4" w:space="0"/>
              <w:bottom w:val="single" w:color="auto" w:sz="4" w:space="0"/>
              <w:right w:val="single" w:color="auto" w:sz="4" w:space="0"/>
            </w:tcBorders>
            <w:noWrap w:val="0"/>
            <w:vAlign w:val="center"/>
          </w:tcPr>
          <w:p>
            <w:pPr>
              <w:widowControl/>
              <w:spacing w:line="240" w:lineRule="exact"/>
              <w:jc w:val="cente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rPr>
              <w:t>90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bl>
    <w:p>
      <w:pPr>
        <w:spacing w:line="600" w:lineRule="exact"/>
        <w:rPr>
          <w:rFonts w:hint="eastAsia" w:ascii="黑体" w:hAnsi="黑体" w:eastAsia="黑体"/>
        </w:rPr>
      </w:pPr>
    </w:p>
    <w:sectPr>
      <w:pgSz w:w="11906" w:h="16838"/>
      <w:pgMar w:top="1928" w:right="1531" w:bottom="1701" w:left="1531" w:header="737" w:footer="851" w:gutter="0"/>
      <w:cols w:space="720"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EDED4F"/>
    <w:multiLevelType w:val="singleLevel"/>
    <w:tmpl w:val="A3EDED4F"/>
    <w:lvl w:ilvl="0" w:tentative="0">
      <w:start w:val="1"/>
      <w:numFmt w:val="decimal"/>
      <w:suff w:val="nothing"/>
      <w:lvlText w:val="%1、"/>
      <w:lvlJc w:val="left"/>
    </w:lvl>
  </w:abstractNum>
  <w:abstractNum w:abstractNumId="1">
    <w:nsid w:val="11125529"/>
    <w:multiLevelType w:val="singleLevel"/>
    <w:tmpl w:val="11125529"/>
    <w:lvl w:ilvl="0" w:tentative="0">
      <w:start w:val="2"/>
      <w:numFmt w:val="chineseCounting"/>
      <w:suff w:val="nothing"/>
      <w:lvlText w:val="（%1）"/>
      <w:lvlJc w:val="left"/>
      <w:rPr>
        <w:rFonts w:hint="eastAsia"/>
      </w:rPr>
    </w:lvl>
  </w:abstractNum>
  <w:abstractNum w:abstractNumId="2">
    <w:nsid w:val="51FDA1D3"/>
    <w:multiLevelType w:val="singleLevel"/>
    <w:tmpl w:val="51FDA1D3"/>
    <w:lvl w:ilvl="0" w:tentative="0">
      <w:start w:val="6"/>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335715"/>
    <w:rsid w:val="00A40D14"/>
    <w:rsid w:val="02BF7B96"/>
    <w:rsid w:val="043F5602"/>
    <w:rsid w:val="057C0E8E"/>
    <w:rsid w:val="09300941"/>
    <w:rsid w:val="09731AFE"/>
    <w:rsid w:val="0C7B1FEE"/>
    <w:rsid w:val="11814DFF"/>
    <w:rsid w:val="11E74152"/>
    <w:rsid w:val="13054CA1"/>
    <w:rsid w:val="13717E5C"/>
    <w:rsid w:val="20D6153E"/>
    <w:rsid w:val="21E85DF4"/>
    <w:rsid w:val="27A113AF"/>
    <w:rsid w:val="289A247B"/>
    <w:rsid w:val="2C5E1C00"/>
    <w:rsid w:val="2D0E7052"/>
    <w:rsid w:val="2F907DF0"/>
    <w:rsid w:val="345B01FF"/>
    <w:rsid w:val="3B8254CD"/>
    <w:rsid w:val="40E61456"/>
    <w:rsid w:val="46C941E2"/>
    <w:rsid w:val="48F34BB9"/>
    <w:rsid w:val="503E67EA"/>
    <w:rsid w:val="5212457E"/>
    <w:rsid w:val="58EE7269"/>
    <w:rsid w:val="5E6F0180"/>
    <w:rsid w:val="618521A9"/>
    <w:rsid w:val="67ED098D"/>
    <w:rsid w:val="68335715"/>
    <w:rsid w:val="6E2800E1"/>
    <w:rsid w:val="6E72631D"/>
    <w:rsid w:val="72603881"/>
    <w:rsid w:val="74C62D0F"/>
    <w:rsid w:val="75736464"/>
    <w:rsid w:val="784B429B"/>
    <w:rsid w:val="79784FE1"/>
    <w:rsid w:val="7C3F6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adjustRightInd w:val="0"/>
      <w:snapToGrid w:val="0"/>
      <w:spacing w:line="560" w:lineRule="atLeast"/>
      <w:ind w:firstLine="640" w:firstLineChars="200"/>
    </w:pPr>
    <w:rPr>
      <w:rFonts w:eastAsia="仿宋_GB2312"/>
      <w:kern w:val="0"/>
      <w:sz w:val="32"/>
      <w:szCs w:val="28"/>
    </w:rPr>
  </w:style>
  <w:style w:type="paragraph" w:styleId="3">
    <w:name w:val="footer"/>
    <w:basedOn w:val="1"/>
    <w:qFormat/>
    <w:uiPriority w:val="0"/>
    <w:pPr>
      <w:tabs>
        <w:tab w:val="center" w:pos="4153"/>
        <w:tab w:val="right" w:pos="8306"/>
      </w:tabs>
      <w:snapToGrid w:val="0"/>
      <w:jc w:val="left"/>
    </w:pPr>
    <w:rPr>
      <w:rFonts w:eastAsia="宋体"/>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2022-06-06T01:55:00Z</dcterms:created>
  <dc:creator>Administrator</dc:creator>
  <cp:lastModifiedBy>LENOVO</cp:lastModifiedBy>
  <dcterms:modified xsi:type="dcterms:W3CDTF">2022-06-12T14:05:53Z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