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2020年退役士兵安置生活费绩效评价报告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根据《江西省人民政府 江西省军区关于做好2019年度退役士兵接收安置工作的通知》（赣府发【2019】8号）文件精神，我局高度重视，积极开展了2020年度退役士兵安置生活费专项资金管理使用情况自查和评估工作，现将核查情况汇报如下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宋体" w:eastAsia="黑体" w:cs="仿宋_GB2312"/>
          <w:sz w:val="32"/>
          <w:szCs w:val="32"/>
        </w:rPr>
      </w:pPr>
      <w:r>
        <w:rPr>
          <w:rFonts w:hint="eastAsia" w:ascii="黑体" w:hAnsi="宋体" w:eastAsia="黑体" w:cs="仿宋_GB2312"/>
          <w:sz w:val="32"/>
          <w:szCs w:val="32"/>
        </w:rPr>
        <w:t>一、项目基本情况</w:t>
      </w:r>
    </w:p>
    <w:p>
      <w:pPr>
        <w:spacing w:line="600" w:lineRule="exact"/>
        <w:ind w:firstLine="643" w:firstLineChars="200"/>
        <w:rPr>
          <w:rFonts w:ascii="楷体_GB2312" w:hAnsi="仿宋" w:eastAsia="楷体_GB2312"/>
          <w:b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 xml:space="preserve"> (一)项目实施依据</w:t>
      </w:r>
    </w:p>
    <w:p>
      <w:pPr>
        <w:numPr>
          <w:ilvl w:val="0"/>
          <w:numId w:val="1"/>
        </w:numPr>
        <w:ind w:left="480"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项目实施背景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为保障2020年度退役士兵的权益，落实好上级下达的安置任务。</w:t>
      </w:r>
    </w:p>
    <w:p>
      <w:pPr>
        <w:numPr>
          <w:ilvl w:val="0"/>
          <w:numId w:val="0"/>
        </w:numPr>
        <w:ind w:left="480"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（二）项目实施依据</w:t>
      </w:r>
    </w:p>
    <w:p>
      <w:pPr>
        <w:numPr>
          <w:ilvl w:val="0"/>
          <w:numId w:val="0"/>
        </w:numPr>
        <w:ind w:left="0" w:lef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根据《江西省人民政府 江西省军区关于做好2019年度退役士兵接收安置工作的通知》（赣府发【2019】8号）文件精神。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楷体_GB2312" w:hAnsi="仿宋" w:eastAsia="楷体_GB2312"/>
          <w:b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(二)项目基本性质、用途、主要内容、涉及范围等</w:t>
      </w:r>
    </w:p>
    <w:p>
      <w:pPr>
        <w:spacing w:line="600" w:lineRule="exact"/>
        <w:ind w:firstLine="752" w:firstLineChars="235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退役士兵安置生活费是落实好上级下达的安置任务工作的重要保障。</w:t>
      </w:r>
      <w:r>
        <w:rPr>
          <w:rFonts w:hint="eastAsia" w:ascii="仿宋_GB2312" w:hAnsi="仿宋" w:eastAsia="仿宋_GB2312"/>
          <w:sz w:val="32"/>
          <w:szCs w:val="32"/>
        </w:rPr>
        <w:t>其目的是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让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退役士兵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感觉党和政府的关心、关爱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主要用于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2020年度退役士兵安置生活费发放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pStyle w:val="2"/>
        <w:spacing w:line="600" w:lineRule="exact"/>
        <w:ind w:firstLine="643"/>
        <w:rPr>
          <w:rFonts w:ascii="楷体_GB2312" w:hAnsi="仿宋" w:eastAsia="楷体_GB2312"/>
          <w:b/>
          <w:szCs w:val="32"/>
        </w:rPr>
      </w:pPr>
      <w:r>
        <w:rPr>
          <w:rFonts w:hint="eastAsia" w:ascii="楷体_GB2312" w:hAnsi="仿宋" w:eastAsia="楷体_GB2312"/>
          <w:b/>
          <w:szCs w:val="32"/>
        </w:rPr>
        <w:t>（三）项目绩效目标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通过此次绩效评价，</w:t>
      </w:r>
      <w:r>
        <w:rPr>
          <w:rFonts w:eastAsia="仿宋_GB2312"/>
          <w:color w:val="000000"/>
          <w:sz w:val="32"/>
          <w:szCs w:val="32"/>
        </w:rPr>
        <w:t> 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进一步加强了对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退役士兵安置生活费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的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资金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管理，确保了财政资金的使用效益，从而促进了社会和谐稳定持续发展。</w:t>
      </w:r>
    </w:p>
    <w:p>
      <w:pPr>
        <w:pStyle w:val="2"/>
        <w:spacing w:line="600" w:lineRule="exact"/>
        <w:rPr>
          <w:rFonts w:ascii="黑体" w:hAnsi="宋体" w:eastAsia="黑体" w:cs="仿宋_GB2312"/>
          <w:szCs w:val="32"/>
        </w:rPr>
      </w:pPr>
      <w:r>
        <w:rPr>
          <w:rFonts w:hint="eastAsia" w:ascii="黑体" w:hAnsi="宋体" w:eastAsia="黑体" w:cs="仿宋_GB2312"/>
          <w:szCs w:val="32"/>
        </w:rPr>
        <w:t>二、绩效评价工作情况</w:t>
      </w:r>
    </w:p>
    <w:p>
      <w:pPr>
        <w:pStyle w:val="2"/>
        <w:spacing w:line="600" w:lineRule="exact"/>
        <w:ind w:firstLine="643"/>
        <w:rPr>
          <w:rFonts w:ascii="楷体_GB2312" w:hAnsi="仿宋" w:eastAsia="楷体_GB2312"/>
          <w:b/>
          <w:szCs w:val="32"/>
        </w:rPr>
      </w:pPr>
      <w:r>
        <w:rPr>
          <w:rFonts w:hint="eastAsia" w:ascii="楷体_GB2312" w:hAnsi="仿宋" w:eastAsia="楷体_GB2312"/>
          <w:b/>
          <w:szCs w:val="32"/>
        </w:rPr>
        <w:t>（一）评价目的</w:t>
      </w: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通过绩效评价，科学、客观、公正的对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2020年度退役士兵安置生活费</w:t>
      </w:r>
      <w:r>
        <w:rPr>
          <w:rFonts w:hint="eastAsia" w:ascii="仿宋_GB2312" w:hAnsi="仿宋" w:eastAsia="仿宋_GB2312"/>
          <w:sz w:val="32"/>
          <w:szCs w:val="32"/>
        </w:rPr>
        <w:t>资金项目进行整体综合性评价，反映其社会效益，更好地发挥其政策扶持、引导作用。</w:t>
      </w:r>
    </w:p>
    <w:p>
      <w:pPr>
        <w:pStyle w:val="2"/>
        <w:spacing w:line="600" w:lineRule="exact"/>
        <w:ind w:firstLine="643"/>
        <w:rPr>
          <w:rFonts w:ascii="楷体_GB2312" w:hAnsi="仿宋" w:eastAsia="楷体_GB2312"/>
          <w:b/>
          <w:szCs w:val="32"/>
        </w:rPr>
      </w:pPr>
      <w:r>
        <w:rPr>
          <w:rFonts w:hint="eastAsia" w:ascii="楷体_GB2312" w:hAnsi="仿宋" w:eastAsia="楷体_GB2312"/>
          <w:b/>
          <w:szCs w:val="32"/>
        </w:rPr>
        <w:t xml:space="preserve">（二）绩效评价原则和依据、评价指标体系、评价方法 </w:t>
      </w:r>
    </w:p>
    <w:p>
      <w:pPr>
        <w:pStyle w:val="2"/>
        <w:spacing w:line="600" w:lineRule="exact"/>
        <w:ind w:firstLine="537" w:firstLineChars="168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szCs w:val="32"/>
        </w:rPr>
        <w:t>1、</w:t>
      </w:r>
      <w:r>
        <w:rPr>
          <w:rFonts w:hint="eastAsia" w:ascii="仿宋_GB2312" w:hAnsi="仿宋"/>
          <w:b/>
          <w:szCs w:val="32"/>
        </w:rPr>
        <w:t>评价原则：</w:t>
      </w:r>
      <w:r>
        <w:rPr>
          <w:rFonts w:hint="eastAsia" w:ascii="仿宋_GB2312" w:hAnsi="仿宋"/>
          <w:szCs w:val="32"/>
        </w:rPr>
        <w:t>一是评估的客观公正性原则。在项目评估中要尊重客观规律，深入调查研究，不带主观随意性，讲求科学性。二是分析的系统性原则。从项目内部要素的内在联系，以及与外部条件的广泛联系入手，进行全面的动态的分析论证。三是评估的效益性原则。投入与产出的效益比例。四是</w:t>
      </w:r>
      <w:r>
        <w:rPr>
          <w:rFonts w:hint="eastAsia" w:ascii="仿宋_GB2312" w:hAnsi="仿宋" w:cs="Arial"/>
          <w:color w:val="000000"/>
          <w:szCs w:val="32"/>
        </w:rPr>
        <w:t>评估方法的规范化原则。所采用的定性和定量分析方法，必须符合客观实际，体现事物的内在联系。五是评估指标的科学性原则。</w:t>
      </w:r>
    </w:p>
    <w:p>
      <w:pPr>
        <w:numPr>
          <w:ilvl w:val="0"/>
          <w:numId w:val="0"/>
        </w:numPr>
        <w:ind w:left="0" w:leftChars="0" w:firstLine="640" w:firstLineChars="2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2、</w:t>
      </w:r>
      <w:r>
        <w:rPr>
          <w:rFonts w:hint="eastAsia" w:ascii="仿宋_GB2312" w:hAnsi="仿宋" w:eastAsia="仿宋_GB2312"/>
          <w:b/>
          <w:sz w:val="32"/>
          <w:szCs w:val="32"/>
        </w:rPr>
        <w:t>评价依据</w:t>
      </w:r>
      <w:r>
        <w:rPr>
          <w:rFonts w:hint="eastAsia" w:ascii="仿宋_GB2312" w:hAnsi="仿宋" w:eastAsia="仿宋_GB2312"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根据《江西省人民政府 江西省军区关于做好2019年度退市士兵接收安置工作的通知》（赣府发【2019】8号）文件精神。</w:t>
      </w:r>
    </w:p>
    <w:p>
      <w:pPr>
        <w:pStyle w:val="2"/>
        <w:spacing w:line="600" w:lineRule="exact"/>
        <w:ind w:firstLine="643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szCs w:val="32"/>
        </w:rPr>
        <w:t>3、评价方法：</w:t>
      </w:r>
      <w:r>
        <w:rPr>
          <w:rFonts w:hint="eastAsia" w:ascii="仿宋_GB2312" w:hAnsi="仿宋" w:cs="Arial"/>
          <w:color w:val="000000"/>
          <w:szCs w:val="32"/>
        </w:rPr>
        <w:t>由县</w:t>
      </w:r>
      <w:r>
        <w:rPr>
          <w:rFonts w:hint="eastAsia" w:ascii="仿宋_GB2312" w:hAnsi="仿宋" w:cs="Arial"/>
          <w:color w:val="000000"/>
          <w:szCs w:val="32"/>
          <w:lang w:eastAsia="zh-CN"/>
        </w:rPr>
        <w:t>退役军人事务局</w:t>
      </w:r>
      <w:r>
        <w:rPr>
          <w:rFonts w:hint="eastAsia" w:ascii="仿宋_GB2312" w:hAnsi="仿宋" w:cs="Arial"/>
          <w:color w:val="000000"/>
          <w:szCs w:val="32"/>
        </w:rPr>
        <w:t>相关人员于20</w:t>
      </w:r>
      <w:r>
        <w:rPr>
          <w:rFonts w:hint="eastAsia" w:ascii="仿宋_GB2312" w:hAnsi="仿宋" w:cs="Arial"/>
          <w:color w:val="000000"/>
          <w:szCs w:val="32"/>
          <w:lang w:val="en-US" w:eastAsia="zh-CN"/>
        </w:rPr>
        <w:t>20</w:t>
      </w:r>
      <w:r>
        <w:rPr>
          <w:rFonts w:hint="eastAsia" w:ascii="仿宋_GB2312" w:hAnsi="仿宋" w:cs="Arial"/>
          <w:color w:val="000000"/>
          <w:szCs w:val="32"/>
        </w:rPr>
        <w:t>年</w:t>
      </w:r>
      <w:r>
        <w:rPr>
          <w:rFonts w:hint="eastAsia" w:ascii="仿宋_GB2312" w:hAnsi="仿宋" w:cs="Arial"/>
          <w:color w:val="000000"/>
          <w:szCs w:val="32"/>
          <w:lang w:val="en-US" w:eastAsia="zh-CN"/>
        </w:rPr>
        <w:t>3</w:t>
      </w:r>
      <w:r>
        <w:rPr>
          <w:rFonts w:hint="eastAsia" w:ascii="仿宋_GB2312" w:hAnsi="仿宋" w:cs="Arial"/>
          <w:color w:val="000000"/>
          <w:szCs w:val="32"/>
        </w:rPr>
        <w:t>月</w:t>
      </w:r>
      <w:r>
        <w:rPr>
          <w:rFonts w:hint="eastAsia" w:ascii="仿宋_GB2312" w:hAnsi="仿宋" w:cs="Arial"/>
          <w:color w:val="000000"/>
          <w:szCs w:val="32"/>
          <w:lang w:eastAsia="zh-CN"/>
        </w:rPr>
        <w:t>下</w:t>
      </w:r>
      <w:r>
        <w:rPr>
          <w:rFonts w:hint="eastAsia" w:ascii="仿宋_GB2312" w:hAnsi="仿宋" w:cs="Arial"/>
          <w:color w:val="000000"/>
          <w:szCs w:val="32"/>
        </w:rPr>
        <w:t>旬，对20</w:t>
      </w:r>
      <w:r>
        <w:rPr>
          <w:rFonts w:hint="eastAsia" w:ascii="仿宋_GB2312" w:hAnsi="仿宋" w:cs="Arial"/>
          <w:color w:val="000000"/>
          <w:szCs w:val="32"/>
          <w:lang w:val="en-US" w:eastAsia="zh-CN"/>
        </w:rPr>
        <w:t>20</w:t>
      </w:r>
      <w:r>
        <w:rPr>
          <w:rFonts w:hint="eastAsia" w:ascii="仿宋_GB2312" w:hAnsi="仿宋" w:cs="Arial"/>
          <w:color w:val="000000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退役士兵安置生活费</w:t>
      </w:r>
      <w:r>
        <w:rPr>
          <w:rFonts w:hint="eastAsia" w:ascii="仿宋_GB2312" w:hAnsi="仿宋" w:cs="Arial"/>
          <w:color w:val="000000"/>
          <w:szCs w:val="32"/>
        </w:rPr>
        <w:t>资金项目绩效进行自我评价。收集</w:t>
      </w:r>
      <w:r>
        <w:rPr>
          <w:rFonts w:hint="eastAsia" w:ascii="仿宋_GB2312" w:hAnsi="仿宋" w:cs="Arial"/>
          <w:color w:val="000000"/>
          <w:szCs w:val="32"/>
          <w:lang w:val="en-US" w:eastAsia="zh-CN"/>
        </w:rPr>
        <w:t>退役士兵</w:t>
      </w:r>
      <w:r>
        <w:rPr>
          <w:rFonts w:hint="eastAsia" w:ascii="仿宋_GB2312" w:hAnsi="仿宋" w:cs="Arial"/>
          <w:color w:val="000000"/>
          <w:szCs w:val="32"/>
        </w:rPr>
        <w:t>的相关信息资料，对各项指标进行逐项逐条审核，最终形成绩效自评评价报告。</w:t>
      </w:r>
    </w:p>
    <w:p>
      <w:pPr>
        <w:pStyle w:val="2"/>
        <w:spacing w:line="600" w:lineRule="exact"/>
        <w:ind w:firstLine="643"/>
        <w:rPr>
          <w:rFonts w:ascii="楷体_GB2312" w:hAnsi="仿宋" w:eastAsia="楷体_GB2312"/>
          <w:b/>
          <w:szCs w:val="32"/>
        </w:rPr>
      </w:pPr>
      <w:r>
        <w:rPr>
          <w:rFonts w:hint="eastAsia" w:ascii="楷体_GB2312" w:hAnsi="仿宋" w:eastAsia="楷体_GB2312"/>
          <w:b/>
          <w:szCs w:val="32"/>
        </w:rPr>
        <w:t>（三）绩效评价工作过程(包括前期准备、组织实施、现场勘验、检查、核实等工作情况)</w:t>
      </w:r>
    </w:p>
    <w:p>
      <w:pPr>
        <w:pStyle w:val="2"/>
        <w:spacing w:line="600" w:lineRule="exact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本次绩效评价自评工作分为五个步骤：</w:t>
      </w:r>
    </w:p>
    <w:p>
      <w:pPr>
        <w:pStyle w:val="2"/>
        <w:numPr>
          <w:ilvl w:val="0"/>
          <w:numId w:val="2"/>
        </w:numPr>
        <w:spacing w:line="600" w:lineRule="exact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>由县</w:t>
      </w:r>
      <w:r>
        <w:rPr>
          <w:rFonts w:hint="eastAsia" w:ascii="仿宋_GB2312" w:hAnsi="仿宋"/>
          <w:szCs w:val="32"/>
          <w:lang w:eastAsia="zh-CN"/>
        </w:rPr>
        <w:t>退役军人事务局</w:t>
      </w:r>
      <w:r>
        <w:rPr>
          <w:rFonts w:hint="eastAsia" w:ascii="仿宋_GB2312" w:hAnsi="仿宋"/>
          <w:szCs w:val="32"/>
        </w:rPr>
        <w:t>牵头成立评价工作小组，制订评价工作方案，为评价提供工作指引和具体安排。</w:t>
      </w:r>
    </w:p>
    <w:p>
      <w:pPr>
        <w:pStyle w:val="2"/>
        <w:numPr>
          <w:ilvl w:val="0"/>
          <w:numId w:val="2"/>
        </w:numPr>
        <w:spacing w:line="60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/>
          <w:szCs w:val="32"/>
          <w:lang w:eastAsia="zh-CN"/>
        </w:rPr>
        <w:t>按照县财政局《南昌县财政局关于开展</w:t>
      </w:r>
      <w:r>
        <w:rPr>
          <w:rFonts w:hint="eastAsia" w:ascii="仿宋_GB2312" w:hAnsi="仿宋"/>
          <w:szCs w:val="32"/>
          <w:lang w:val="en-US" w:eastAsia="zh-CN"/>
        </w:rPr>
        <w:t>2019年度县级部门财政项目支出绩效评价工作的通知</w:t>
      </w:r>
      <w:r>
        <w:rPr>
          <w:rFonts w:hint="eastAsia" w:ascii="仿宋_GB2312" w:hAnsi="仿宋"/>
          <w:szCs w:val="32"/>
          <w:lang w:eastAsia="zh-CN"/>
        </w:rPr>
        <w:t>》（南财绩【</w:t>
      </w:r>
      <w:r>
        <w:rPr>
          <w:rFonts w:hint="eastAsia" w:ascii="仿宋_GB2312" w:hAnsi="仿宋"/>
          <w:szCs w:val="32"/>
          <w:lang w:val="en-US" w:eastAsia="zh-CN"/>
        </w:rPr>
        <w:t>2019</w:t>
      </w:r>
      <w:r>
        <w:rPr>
          <w:rFonts w:hint="eastAsia" w:ascii="仿宋_GB2312" w:hAnsi="仿宋"/>
          <w:szCs w:val="32"/>
          <w:lang w:eastAsia="zh-CN"/>
        </w:rPr>
        <w:t>】</w:t>
      </w:r>
      <w:r>
        <w:rPr>
          <w:rFonts w:hint="eastAsia" w:ascii="仿宋_GB2312" w:hAnsi="仿宋"/>
          <w:szCs w:val="32"/>
          <w:lang w:val="en-US" w:eastAsia="zh-CN"/>
        </w:rPr>
        <w:t>4号</w:t>
      </w:r>
      <w:r>
        <w:rPr>
          <w:rFonts w:hint="eastAsia" w:ascii="仿宋_GB2312" w:hAnsi="仿宋"/>
          <w:szCs w:val="32"/>
          <w:lang w:eastAsia="zh-CN"/>
        </w:rPr>
        <w:t>）要求提供基础资料。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3、对项目资金使用、资金管理、绩效实现情况进行自查、提供自评资料。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4、通过数据核查、实地调研、座谈、询问查证、问卷调查等方式获得资料。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>5、总结评价结论，归纳问题，分析原因，提出对策，形成最终自评评价报告。</w:t>
      </w:r>
    </w:p>
    <w:p>
      <w:pPr>
        <w:pStyle w:val="2"/>
        <w:spacing w:line="600" w:lineRule="exact"/>
        <w:rPr>
          <w:rFonts w:ascii="黑体" w:hAnsi="宋体" w:eastAsia="黑体" w:cs="仿宋_GB2312"/>
          <w:szCs w:val="32"/>
        </w:rPr>
      </w:pPr>
      <w:r>
        <w:rPr>
          <w:rFonts w:hint="eastAsia" w:ascii="黑体" w:hAnsi="宋体" w:eastAsia="黑体" w:cs="仿宋_GB2312"/>
          <w:szCs w:val="32"/>
        </w:rPr>
        <w:t>三、绩效评价指标分析情况</w:t>
      </w:r>
    </w:p>
    <w:p>
      <w:pPr>
        <w:pStyle w:val="2"/>
        <w:spacing w:line="600" w:lineRule="exact"/>
        <w:ind w:firstLine="643"/>
        <w:rPr>
          <w:rFonts w:ascii="楷体_GB2312" w:hAnsi="仿宋" w:eastAsia="楷体_GB2312"/>
          <w:b/>
          <w:szCs w:val="32"/>
        </w:rPr>
      </w:pPr>
      <w:r>
        <w:rPr>
          <w:rFonts w:hint="eastAsia" w:ascii="楷体_GB2312" w:hAnsi="仿宋" w:eastAsia="楷体_GB2312"/>
          <w:b/>
          <w:szCs w:val="32"/>
        </w:rPr>
        <w:t>（一）项目资金情况分析</w:t>
      </w:r>
    </w:p>
    <w:p>
      <w:pPr>
        <w:pStyle w:val="2"/>
        <w:spacing w:line="600" w:lineRule="exact"/>
        <w:ind w:firstLine="643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1、项目预算情况分析</w:t>
      </w:r>
    </w:p>
    <w:p>
      <w:pPr>
        <w:pStyle w:val="2"/>
        <w:spacing w:line="600" w:lineRule="exact"/>
        <w:rPr>
          <w:rFonts w:ascii="仿宋_GB2312" w:hAnsi="仿宋"/>
          <w:color w:val="000000"/>
          <w:szCs w:val="32"/>
        </w:rPr>
      </w:pPr>
      <w:r>
        <w:rPr>
          <w:rFonts w:hint="eastAsia" w:ascii="仿宋_GB2312" w:hAnsi="仿宋" w:cs="Arial"/>
          <w:color w:val="000000"/>
          <w:szCs w:val="32"/>
        </w:rPr>
        <w:t>县</w:t>
      </w:r>
      <w:r>
        <w:rPr>
          <w:rFonts w:hint="eastAsia" w:ascii="仿宋_GB2312" w:hAnsi="仿宋" w:cs="Arial"/>
          <w:color w:val="000000"/>
          <w:szCs w:val="32"/>
          <w:lang w:eastAsia="zh-CN"/>
        </w:rPr>
        <w:t>退役军人事务局本级</w:t>
      </w:r>
      <w:r>
        <w:rPr>
          <w:rFonts w:hint="eastAsia" w:ascii="仿宋_GB2312" w:hAnsi="仿宋" w:cs="Arial"/>
          <w:color w:val="000000"/>
          <w:szCs w:val="32"/>
          <w:lang w:val="en-US" w:eastAsia="zh-CN"/>
        </w:rPr>
        <w:t>退役士兵安置生活费</w:t>
      </w:r>
      <w:r>
        <w:rPr>
          <w:rFonts w:hint="eastAsia" w:ascii="仿宋_GB2312" w:hAnsi="仿宋" w:cs="Arial"/>
          <w:color w:val="000000"/>
          <w:szCs w:val="32"/>
          <w:lang w:eastAsia="zh-CN"/>
        </w:rPr>
        <w:t>资金</w:t>
      </w:r>
      <w:r>
        <w:rPr>
          <w:rFonts w:hint="eastAsia" w:ascii="仿宋_GB2312" w:hAnsi="仿宋" w:cs="Arial"/>
          <w:color w:val="000000"/>
          <w:szCs w:val="32"/>
        </w:rPr>
        <w:t>预算</w:t>
      </w:r>
      <w:r>
        <w:rPr>
          <w:rFonts w:hint="eastAsia" w:ascii="仿宋_GB2312" w:hAnsi="仿宋" w:cs="Arial"/>
          <w:color w:val="000000"/>
          <w:szCs w:val="32"/>
          <w:lang w:eastAsia="zh-CN"/>
        </w:rPr>
        <w:t>资金</w:t>
      </w:r>
      <w:r>
        <w:rPr>
          <w:rFonts w:hint="eastAsia" w:ascii="仿宋_GB2312" w:hAnsi="仿宋" w:cs="Arial"/>
          <w:color w:val="000000"/>
          <w:szCs w:val="32"/>
        </w:rPr>
        <w:t>安排</w:t>
      </w:r>
      <w:r>
        <w:rPr>
          <w:rFonts w:hint="eastAsia" w:ascii="仿宋_GB2312" w:hAnsi="仿宋" w:cs="Arial"/>
          <w:color w:val="000000"/>
          <w:szCs w:val="32"/>
          <w:lang w:val="en-US" w:eastAsia="zh-CN"/>
        </w:rPr>
        <w:t>56</w:t>
      </w:r>
      <w:r>
        <w:rPr>
          <w:rFonts w:hint="eastAsia" w:ascii="仿宋_GB2312" w:hAnsi="仿宋" w:cs="Arial"/>
          <w:color w:val="000000"/>
          <w:szCs w:val="32"/>
        </w:rPr>
        <w:t>万元。实际到位</w:t>
      </w:r>
      <w:r>
        <w:rPr>
          <w:rFonts w:hint="eastAsia" w:ascii="仿宋_GB2312" w:hAnsi="仿宋" w:cs="Arial"/>
          <w:color w:val="000000"/>
          <w:szCs w:val="32"/>
          <w:lang w:val="en-US" w:eastAsia="zh-CN"/>
        </w:rPr>
        <w:t>46.452</w:t>
      </w:r>
      <w:r>
        <w:rPr>
          <w:rFonts w:hint="eastAsia" w:ascii="仿宋_GB2312" w:hAnsi="仿宋" w:cs="Arial"/>
          <w:color w:val="000000"/>
          <w:szCs w:val="32"/>
        </w:rPr>
        <w:t>万元。</w:t>
      </w:r>
    </w:p>
    <w:p>
      <w:pPr>
        <w:pStyle w:val="2"/>
        <w:spacing w:line="600" w:lineRule="exact"/>
        <w:ind w:firstLine="643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2、项目资金实际到位情况分析</w:t>
      </w:r>
    </w:p>
    <w:p>
      <w:pPr>
        <w:pStyle w:val="2"/>
        <w:spacing w:line="600" w:lineRule="exact"/>
        <w:rPr>
          <w:rFonts w:ascii="仿宋_GB2312" w:hAnsi="仿宋"/>
          <w:color w:val="000000"/>
          <w:szCs w:val="32"/>
        </w:rPr>
      </w:pPr>
      <w:r>
        <w:rPr>
          <w:rFonts w:hint="eastAsia" w:ascii="仿宋_GB2312" w:hAnsi="仿宋" w:cs="Arial"/>
          <w:color w:val="000000"/>
          <w:szCs w:val="32"/>
        </w:rPr>
        <w:t>县财政局实际到位</w:t>
      </w:r>
      <w:r>
        <w:rPr>
          <w:rFonts w:hint="eastAsia" w:ascii="仿宋_GB2312" w:hAnsi="仿宋" w:cs="Arial"/>
          <w:color w:val="000000"/>
          <w:szCs w:val="32"/>
          <w:lang w:val="en-US" w:eastAsia="zh-CN"/>
        </w:rPr>
        <w:t>46.452</w:t>
      </w:r>
      <w:r>
        <w:rPr>
          <w:rFonts w:hint="eastAsia" w:ascii="仿宋_GB2312" w:hAnsi="仿宋" w:cs="Arial"/>
          <w:color w:val="000000"/>
          <w:szCs w:val="32"/>
        </w:rPr>
        <w:t>万元。县</w:t>
      </w:r>
      <w:r>
        <w:rPr>
          <w:rFonts w:hint="eastAsia" w:ascii="仿宋_GB2312" w:hAnsi="仿宋" w:cs="Arial"/>
          <w:color w:val="000000"/>
          <w:szCs w:val="32"/>
          <w:lang w:eastAsia="zh-CN"/>
        </w:rPr>
        <w:t>本</w:t>
      </w:r>
      <w:r>
        <w:rPr>
          <w:rFonts w:hint="eastAsia" w:ascii="仿宋_GB2312" w:hAnsi="仿宋" w:cs="Arial"/>
          <w:color w:val="000000"/>
          <w:szCs w:val="32"/>
        </w:rPr>
        <w:t>级资金</w:t>
      </w:r>
      <w:r>
        <w:rPr>
          <w:rFonts w:hint="eastAsia" w:ascii="仿宋_GB2312" w:hAnsi="仿宋" w:cs="Arial"/>
          <w:color w:val="000000"/>
          <w:szCs w:val="32"/>
          <w:lang w:val="en-US" w:eastAsia="zh-CN"/>
        </w:rPr>
        <w:t>46.452</w:t>
      </w:r>
      <w:r>
        <w:rPr>
          <w:rFonts w:hint="eastAsia" w:ascii="仿宋_GB2312" w:hAnsi="仿宋" w:cs="Arial"/>
          <w:color w:val="000000"/>
          <w:szCs w:val="32"/>
        </w:rPr>
        <w:t>万元；项目实际投入资金按预算安排实际到位，实际到位率100%。</w:t>
      </w:r>
    </w:p>
    <w:p>
      <w:pPr>
        <w:pStyle w:val="2"/>
        <w:spacing w:line="600" w:lineRule="exact"/>
        <w:ind w:firstLine="643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3、项目资金实际支出情况分析</w:t>
      </w:r>
    </w:p>
    <w:p>
      <w:pPr>
        <w:pStyle w:val="2"/>
        <w:spacing w:line="600" w:lineRule="exact"/>
        <w:rPr>
          <w:rFonts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  <w:lang w:eastAsia="zh-CN"/>
        </w:rPr>
        <w:t>县本级</w:t>
      </w:r>
      <w:r>
        <w:rPr>
          <w:rFonts w:hint="eastAsia" w:ascii="仿宋_GB2312" w:hAnsi="仿宋"/>
          <w:color w:val="000000"/>
          <w:szCs w:val="32"/>
          <w:lang w:val="en-US" w:eastAsia="zh-CN"/>
        </w:rPr>
        <w:t>退役士兵安置生活费</w:t>
      </w:r>
      <w:r>
        <w:rPr>
          <w:rFonts w:hint="eastAsia" w:ascii="仿宋_GB2312" w:hAnsi="仿宋"/>
          <w:color w:val="000000"/>
          <w:szCs w:val="32"/>
        </w:rPr>
        <w:t>资金实际支出</w:t>
      </w:r>
      <w:r>
        <w:rPr>
          <w:rFonts w:hint="eastAsia" w:ascii="仿宋_GB2312" w:hAnsi="仿宋"/>
          <w:color w:val="000000"/>
          <w:szCs w:val="32"/>
          <w:lang w:val="en-US" w:eastAsia="zh-CN"/>
        </w:rPr>
        <w:t>46.452</w:t>
      </w:r>
      <w:r>
        <w:rPr>
          <w:rFonts w:hint="eastAsia" w:ascii="仿宋_GB2312" w:hAnsi="仿宋"/>
          <w:color w:val="000000"/>
          <w:szCs w:val="32"/>
        </w:rPr>
        <w:t>万元，资金</w:t>
      </w:r>
      <w:r>
        <w:rPr>
          <w:rFonts w:hint="eastAsia" w:ascii="仿宋_GB2312" w:hAnsi="仿宋" w:cs="宋体"/>
          <w:color w:val="000000"/>
          <w:szCs w:val="32"/>
        </w:rPr>
        <w:t>使用率</w:t>
      </w:r>
      <w:r>
        <w:rPr>
          <w:rFonts w:hint="eastAsia" w:ascii="仿宋_GB2312" w:hAnsi="仿宋" w:cs="宋体"/>
          <w:color w:val="000000"/>
          <w:szCs w:val="32"/>
          <w:lang w:val="en-US" w:eastAsia="zh-CN"/>
        </w:rPr>
        <w:t>100</w:t>
      </w:r>
      <w:r>
        <w:rPr>
          <w:rFonts w:hint="eastAsia" w:ascii="仿宋_GB2312" w:hAnsi="仿宋" w:cs="宋体"/>
          <w:color w:val="000000"/>
          <w:szCs w:val="32"/>
        </w:rPr>
        <w:t>%，</w:t>
      </w:r>
      <w:r>
        <w:rPr>
          <w:rFonts w:hint="eastAsia" w:ascii="仿宋_GB2312" w:hAnsi="仿宋"/>
          <w:color w:val="000000"/>
          <w:szCs w:val="32"/>
        </w:rPr>
        <w:t>资金使用充分。</w:t>
      </w:r>
    </w:p>
    <w:p>
      <w:pPr>
        <w:pStyle w:val="2"/>
        <w:spacing w:line="600" w:lineRule="exact"/>
        <w:ind w:firstLine="643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szCs w:val="32"/>
        </w:rPr>
        <w:t>4、项目资金管理情况分析</w:t>
      </w:r>
      <w:r>
        <w:rPr>
          <w:rFonts w:hint="eastAsia" w:ascii="仿宋_GB2312" w:hAnsi="仿宋"/>
          <w:szCs w:val="32"/>
        </w:rPr>
        <w:t>（包括管理制度、办法的制订及执行情况）</w:t>
      </w:r>
    </w:p>
    <w:p>
      <w:pPr>
        <w:pStyle w:val="2"/>
        <w:spacing w:line="600" w:lineRule="exact"/>
        <w:rPr>
          <w:rFonts w:ascii="仿宋_GB2312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在制度建设方面，要求“一把手”对资金安全负总责，亲自抓，财务及分管领导具体抓的原则，保障资金的安全、规范。</w:t>
      </w:r>
    </w:p>
    <w:p>
      <w:pPr>
        <w:pStyle w:val="2"/>
        <w:spacing w:line="600" w:lineRule="exact"/>
        <w:rPr>
          <w:rFonts w:hint="eastAsia" w:ascii="仿宋_GB2312" w:hAnsi="仿宋" w:eastAsia="仿宋_GB2312"/>
          <w:szCs w:val="32"/>
          <w:lang w:eastAsia="zh-CN"/>
        </w:rPr>
      </w:pPr>
      <w:r>
        <w:rPr>
          <w:rFonts w:hint="eastAsia" w:ascii="仿宋_GB2312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在资金拨付、发放方面，我</w:t>
      </w:r>
      <w:r>
        <w:rPr>
          <w:rFonts w:hint="eastAsia" w:ascii="仿宋_GB2312" w:hAnsi="仿宋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审批程序规范、手续完备。由经办人、</w:t>
      </w:r>
      <w:r>
        <w:rPr>
          <w:rFonts w:hint="eastAsia" w:ascii="仿宋_GB2312" w:hAnsi="仿宋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审核人</w:t>
      </w:r>
      <w:r>
        <w:rPr>
          <w:rFonts w:hint="eastAsia" w:ascii="仿宋_GB2312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、分管</w:t>
      </w:r>
      <w:r>
        <w:rPr>
          <w:rFonts w:hint="eastAsia" w:ascii="仿宋_GB2312" w:hAnsi="仿宋"/>
          <w:szCs w:val="32"/>
        </w:rPr>
        <w:t>领导签字，盖章后报</w:t>
      </w:r>
      <w:r>
        <w:rPr>
          <w:rFonts w:hint="eastAsia" w:ascii="仿宋_GB2312" w:hAnsi="仿宋"/>
          <w:szCs w:val="32"/>
          <w:lang w:eastAsia="zh-CN"/>
        </w:rPr>
        <w:t>财务</w:t>
      </w:r>
      <w:r>
        <w:rPr>
          <w:rFonts w:hint="eastAsia" w:ascii="仿宋_GB2312" w:hAnsi="仿宋"/>
          <w:szCs w:val="32"/>
        </w:rPr>
        <w:t>科，</w:t>
      </w:r>
      <w:r>
        <w:rPr>
          <w:rFonts w:hint="eastAsia" w:ascii="仿宋_GB2312" w:hAnsi="仿宋"/>
          <w:szCs w:val="32"/>
          <w:lang w:eastAsia="zh-CN"/>
        </w:rPr>
        <w:t>由财务科汇总后，</w:t>
      </w:r>
      <w:r>
        <w:rPr>
          <w:rFonts w:hint="eastAsia" w:ascii="仿宋_GB2312" w:hAnsi="仿宋"/>
          <w:szCs w:val="32"/>
        </w:rPr>
        <w:t>分管财务领导和主要领导签字后，</w:t>
      </w:r>
      <w:r>
        <w:rPr>
          <w:rFonts w:hint="eastAsia" w:ascii="仿宋_GB2312" w:hAnsi="仿宋"/>
          <w:szCs w:val="32"/>
          <w:lang w:eastAsia="zh-CN"/>
        </w:rPr>
        <w:t>由局财务室</w:t>
      </w:r>
      <w:r>
        <w:rPr>
          <w:rFonts w:hint="eastAsia" w:ascii="仿宋_GB2312" w:hAnsi="仿宋"/>
          <w:szCs w:val="32"/>
        </w:rPr>
        <w:t>按人员名单资金拨给</w:t>
      </w:r>
      <w:r>
        <w:rPr>
          <w:rFonts w:hint="eastAsia" w:ascii="仿宋_GB2312" w:hAnsi="仿宋"/>
          <w:szCs w:val="32"/>
          <w:lang w:val="en-US" w:eastAsia="zh-CN"/>
        </w:rPr>
        <w:t>退役士兵</w:t>
      </w:r>
      <w:r>
        <w:rPr>
          <w:rFonts w:hint="eastAsia" w:ascii="仿宋_GB2312" w:hAnsi="仿宋"/>
          <w:szCs w:val="32"/>
        </w:rPr>
        <w:t>银行帐户，实行社会化发放。全年</w:t>
      </w:r>
      <w:r>
        <w:rPr>
          <w:rFonts w:hint="eastAsia" w:ascii="仿宋_GB2312" w:hAnsi="仿宋"/>
          <w:szCs w:val="32"/>
          <w:lang w:val="en-US" w:eastAsia="zh-CN"/>
        </w:rPr>
        <w:t>退役士兵安置生活费</w:t>
      </w:r>
      <w:r>
        <w:rPr>
          <w:rFonts w:hint="eastAsia" w:ascii="仿宋_GB2312" w:hAnsi="仿宋"/>
          <w:szCs w:val="32"/>
        </w:rPr>
        <w:t>资金专款专用，未出现一笔超出资金使用范围或不符合费用支出的现象；财务制度方面会计规范核算资金</w:t>
      </w:r>
      <w:r>
        <w:rPr>
          <w:rFonts w:hint="eastAsia" w:ascii="仿宋_GB2312" w:hAnsi="仿宋"/>
          <w:szCs w:val="32"/>
          <w:lang w:eastAsia="zh-CN"/>
        </w:rPr>
        <w:t>。</w:t>
      </w:r>
    </w:p>
    <w:p>
      <w:pPr>
        <w:pStyle w:val="2"/>
        <w:spacing w:line="600" w:lineRule="exact"/>
        <w:ind w:firstLine="643"/>
        <w:rPr>
          <w:rFonts w:ascii="楷体_GB2312" w:hAnsi="仿宋" w:eastAsia="楷体_GB2312"/>
          <w:b/>
          <w:color w:val="000000"/>
          <w:szCs w:val="32"/>
        </w:rPr>
      </w:pPr>
      <w:r>
        <w:rPr>
          <w:rFonts w:hint="eastAsia" w:ascii="楷体_GB2312" w:hAnsi="仿宋" w:eastAsia="楷体_GB2312"/>
          <w:b/>
          <w:szCs w:val="32"/>
        </w:rPr>
        <w:t>（二）项目组织实施情况分析</w:t>
      </w:r>
    </w:p>
    <w:p>
      <w:pPr>
        <w:spacing w:line="600" w:lineRule="exact"/>
        <w:ind w:firstLine="643" w:firstLineChars="200"/>
        <w:outlineLvl w:val="0"/>
        <w:rPr>
          <w:rFonts w:ascii="仿宋_GB2312" w:hAnsi="仿宋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1、项目组织情况分析</w:t>
      </w:r>
    </w:p>
    <w:p>
      <w:pPr>
        <w:spacing w:line="600" w:lineRule="exact"/>
        <w:ind w:firstLine="640" w:firstLineChars="200"/>
        <w:outlineLvl w:val="0"/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>在组织机构方面，我县成立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eastAsia="zh-CN"/>
        </w:rPr>
        <w:t>了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/>
        </w:rPr>
        <w:t>退役士兵安置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eastAsia="zh-CN"/>
        </w:rPr>
        <w:t>工作领导小组，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>由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eastAsia="zh-CN"/>
        </w:rPr>
        <w:t>县委副书记、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>县长为组长，相关成员单位领导为成员的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eastAsia="zh-CN"/>
        </w:rPr>
        <w:t>南昌县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/>
        </w:rPr>
        <w:t>退役士兵安置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>工作领导小组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eastAsia="zh-CN"/>
        </w:rPr>
        <w:t>办公室。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/>
        </w:rPr>
        <w:t>退役士兵安置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eastAsia="zh-CN"/>
        </w:rPr>
        <w:t>领导办公室下设在县退役军人事务局，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/>
        </w:rPr>
        <w:t>安置</w:t>
      </w:r>
      <w:r>
        <w:rPr>
          <w:rFonts w:hint="eastAsia" w:ascii="仿宋_GB2312" w:hAnsi="仿宋" w:cs="Arial"/>
          <w:color w:val="000000"/>
          <w:kern w:val="0"/>
          <w:sz w:val="32"/>
          <w:szCs w:val="32"/>
          <w:lang w:val="en-US" w:eastAsia="zh-CN"/>
        </w:rPr>
        <w:t>就业军休股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eastAsia="zh-CN"/>
        </w:rPr>
        <w:t>是退役军人事务局里内设</w:t>
      </w:r>
      <w:r>
        <w:rPr>
          <w:rFonts w:hint="eastAsia" w:ascii="仿宋_GB2312" w:hAnsi="仿宋" w:cs="Arial"/>
          <w:color w:val="000000"/>
          <w:kern w:val="0"/>
          <w:sz w:val="32"/>
          <w:szCs w:val="32"/>
          <w:lang w:val="en-US" w:eastAsia="zh-CN"/>
        </w:rPr>
        <w:t>股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eastAsia="zh-CN"/>
        </w:rPr>
        <w:t>室，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/>
        </w:rPr>
        <w:t>负责退役士兵安置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eastAsia="zh-CN"/>
        </w:rPr>
        <w:t>日常工作。</w:t>
      </w:r>
    </w:p>
    <w:p>
      <w:pPr>
        <w:spacing w:line="600" w:lineRule="exact"/>
        <w:ind w:firstLine="643" w:firstLineChars="200"/>
        <w:outlineLvl w:val="0"/>
        <w:rPr>
          <w:rFonts w:ascii="仿宋_GB2312" w:hAnsi="仿宋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2、项目管理情况分析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>我县严格按照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《江西省人民政府 江西省军区关于做好2019年度退役士兵接收安置工作的通知》（赣府发【2019】8号）文件精神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>，制度完善，审批程序规范，手续完备，档案管理规范，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/>
        </w:rPr>
        <w:t>安置生活费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>凭证齐全，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/>
        </w:rPr>
        <w:t>安置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>对象认定准确。</w:t>
      </w:r>
    </w:p>
    <w:p>
      <w:pPr>
        <w:snapToGrid w:val="0"/>
        <w:spacing w:line="600" w:lineRule="exact"/>
        <w:ind w:firstLine="643" w:firstLineChars="200"/>
        <w:rPr>
          <w:rFonts w:ascii="仿宋_GB2312" w:hAnsi="仿宋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b/>
          <w:color w:val="000000"/>
          <w:kern w:val="0"/>
          <w:sz w:val="32"/>
          <w:szCs w:val="32"/>
        </w:rPr>
        <w:t>3、项目实施</w:t>
      </w:r>
    </w:p>
    <w:p>
      <w:pPr>
        <w:spacing w:line="600" w:lineRule="exact"/>
        <w:ind w:firstLine="640" w:firstLineChars="200"/>
        <w:rPr>
          <w:rFonts w:ascii="仿宋_GB2312" w:hAnsi="仿宋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>截止至2</w:t>
      </w:r>
      <w:r>
        <w:rPr>
          <w:rFonts w:hint="eastAsia" w:ascii="仿宋_GB2312" w:hAnsi="仿宋" w:cs="Arial"/>
          <w:color w:val="000000"/>
          <w:kern w:val="0"/>
          <w:sz w:val="32"/>
          <w:szCs w:val="32"/>
          <w:lang w:val="en-US" w:eastAsia="zh-CN"/>
        </w:rPr>
        <w:t>020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>年12月份，累计发放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eastAsia="zh-CN"/>
        </w:rPr>
        <w:t>县本级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val="en-US" w:eastAsia="zh-CN"/>
        </w:rPr>
        <w:t>退役士兵安置生活费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  <w:lang w:eastAsia="zh-CN"/>
        </w:rPr>
        <w:t>资金</w:t>
      </w:r>
      <w:r>
        <w:rPr>
          <w:rFonts w:hint="eastAsia" w:ascii="仿宋_GB2312" w:hAnsi="仿宋" w:cs="Arial"/>
          <w:color w:val="000000"/>
          <w:kern w:val="0"/>
          <w:sz w:val="32"/>
          <w:szCs w:val="32"/>
          <w:lang w:val="en-US" w:eastAsia="zh-CN"/>
        </w:rPr>
        <w:t>46.452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>万元。</w:t>
      </w:r>
    </w:p>
    <w:p>
      <w:pPr>
        <w:spacing w:line="600" w:lineRule="exact"/>
        <w:ind w:firstLine="643" w:firstLineChars="200"/>
        <w:rPr>
          <w:rFonts w:ascii="楷体_GB2312" w:hAnsi="仿宋" w:eastAsia="楷体_GB2312"/>
          <w:color w:val="FF0000"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（三）项目绩效情况分析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年，我县上级业务部门指导下，在县委、县政府高</w:t>
      </w:r>
      <w:r>
        <w:rPr>
          <w:rFonts w:hint="eastAsia" w:ascii="仿宋_GB2312" w:hAnsi="仿宋" w:eastAsia="仿宋_GB2312" w:cs="宋体"/>
          <w:sz w:val="32"/>
          <w:szCs w:val="32"/>
        </w:rPr>
        <w:t>度重视下，</w:t>
      </w:r>
      <w:r>
        <w:rPr>
          <w:rFonts w:hint="eastAsia" w:ascii="仿宋_GB2312" w:hAnsi="仿宋" w:eastAsia="仿宋_GB2312"/>
          <w:sz w:val="32"/>
          <w:szCs w:val="32"/>
        </w:rPr>
        <w:t>符合达到</w:t>
      </w:r>
      <w:r>
        <w:rPr>
          <w:rFonts w:hint="eastAsia" w:ascii="仿宋_GB2312" w:hAnsi="仿宋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宋体" w:eastAsia="黑体" w:cs="仿宋_GB2312"/>
          <w:sz w:val="32"/>
          <w:szCs w:val="32"/>
        </w:rPr>
      </w:pPr>
      <w:r>
        <w:rPr>
          <w:rFonts w:hint="eastAsia" w:ascii="黑体" w:hAnsi="宋体" w:eastAsia="黑体" w:cs="仿宋_GB2312"/>
          <w:sz w:val="32"/>
          <w:szCs w:val="32"/>
        </w:rPr>
        <w:t>四、综合评价情况及评价结论</w:t>
      </w:r>
    </w:p>
    <w:p>
      <w:pPr>
        <w:spacing w:line="600" w:lineRule="exact"/>
        <w:ind w:firstLine="645"/>
        <w:rPr>
          <w:rFonts w:ascii="仿宋_GB2312" w:hAnsi="仿宋" w:eastAsia="仿宋_GB2312"/>
          <w:color w:val="FF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经我县绩效评价工作组综合评价，20</w:t>
      </w:r>
      <w:r>
        <w:rPr>
          <w:rFonts w:hint="eastAsia" w:ascii="仿宋_GB2312" w:hAnsi="仿宋"/>
          <w:color w:val="333333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我县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  <w:lang w:val="en-US" w:eastAsia="zh-CN"/>
        </w:rPr>
        <w:t>退役士兵安置生活费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经费投入合理、政策执行有力、资金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  <w:lang w:val="en-US" w:eastAsia="zh-CN"/>
        </w:rPr>
        <w:t>发放</w:t>
      </w:r>
      <w:r>
        <w:rPr>
          <w:rFonts w:hint="eastAsia" w:ascii="仿宋_GB2312" w:hAnsi="仿宋" w:eastAsia="仿宋_GB2312"/>
          <w:color w:val="333333"/>
          <w:sz w:val="32"/>
          <w:szCs w:val="32"/>
          <w:shd w:val="clear" w:color="auto" w:fill="FFFFFF"/>
        </w:rPr>
        <w:t>到位、资金使用规范透明、对项目的监督及时准确。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综合绩效评价得分为</w:t>
      </w:r>
      <w:r>
        <w:rPr>
          <w:rFonts w:hint="eastAsia" w:ascii="仿宋_GB2312" w:hAnsi="仿宋"/>
          <w:color w:val="000000"/>
          <w:sz w:val="32"/>
          <w:szCs w:val="32"/>
          <w:shd w:val="clear" w:color="auto" w:fill="FFFFFF"/>
          <w:lang w:val="en-US" w:eastAsia="zh-CN"/>
        </w:rPr>
        <w:t>100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</w:rPr>
        <w:t>分。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宋体" w:eastAsia="黑体" w:cs="仿宋_GB2312"/>
          <w:sz w:val="32"/>
          <w:szCs w:val="32"/>
        </w:rPr>
      </w:pPr>
      <w:r>
        <w:rPr>
          <w:rFonts w:hint="eastAsia" w:ascii="黑体" w:hAnsi="宋体" w:eastAsia="黑体" w:cs="仿宋_GB2312"/>
          <w:sz w:val="32"/>
          <w:szCs w:val="32"/>
        </w:rPr>
        <w:t>五、项目实施经验、做法、存在的问题和改进措施、项目后续工作安排和有关建议</w:t>
      </w:r>
    </w:p>
    <w:p>
      <w:pPr>
        <w:spacing w:line="600" w:lineRule="exact"/>
        <w:ind w:firstLine="643" w:firstLineChars="200"/>
        <w:rPr>
          <w:rFonts w:ascii="楷体_GB2312" w:hAnsi="仿宋" w:eastAsia="楷体_GB2312"/>
          <w:b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（一）认真落实政策，提高</w:t>
      </w:r>
      <w:r>
        <w:rPr>
          <w:rFonts w:hint="eastAsia" w:ascii="楷体_GB2312" w:hAnsi="仿宋" w:eastAsia="楷体_GB2312"/>
          <w:b/>
          <w:sz w:val="32"/>
          <w:szCs w:val="32"/>
          <w:lang w:val="en-US" w:eastAsia="zh-CN"/>
        </w:rPr>
        <w:t>移交安置</w:t>
      </w:r>
      <w:r>
        <w:rPr>
          <w:rFonts w:hint="eastAsia" w:ascii="楷体_GB2312" w:hAnsi="仿宋" w:eastAsia="楷体_GB2312"/>
          <w:b/>
          <w:sz w:val="32"/>
          <w:szCs w:val="32"/>
        </w:rPr>
        <w:t>水平。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我县严格按照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《江西省人民政府 江西省军区关于做好2019年度退役士兵接收安置工作的通知》（赣府发【2019】8号）文件精神</w:t>
      </w:r>
      <w:r>
        <w:rPr>
          <w:rFonts w:hint="eastAsia" w:ascii="仿宋_GB2312" w:hAnsi="仿宋" w:eastAsia="仿宋_GB2312"/>
          <w:sz w:val="32"/>
          <w:szCs w:val="32"/>
        </w:rPr>
        <w:t>执行。</w:t>
      </w:r>
    </w:p>
    <w:p>
      <w:pPr>
        <w:spacing w:line="480" w:lineRule="exact"/>
        <w:ind w:firstLine="643" w:firstLineChars="200"/>
        <w:rPr>
          <w:rFonts w:hint="default" w:ascii="楷体_GB2312" w:hAnsi="仿宋" w:eastAsia="楷体_GB2312" w:cs="仿宋_GB2312"/>
          <w:sz w:val="32"/>
          <w:szCs w:val="32"/>
          <w:lang w:val="en-US"/>
        </w:rPr>
      </w:pPr>
      <w:r>
        <w:rPr>
          <w:rFonts w:hint="eastAsia" w:ascii="楷体_GB2312" w:hAnsi="仿宋" w:eastAsia="楷体_GB2312" w:cs="宋体"/>
          <w:b/>
          <w:color w:val="000000"/>
          <w:kern w:val="0"/>
          <w:sz w:val="32"/>
          <w:szCs w:val="32"/>
        </w:rPr>
        <w:t>(二)</w:t>
      </w:r>
      <w:r>
        <w:rPr>
          <w:rFonts w:hint="eastAsia" w:ascii="楷体_GB2312" w:hAnsi="仿宋" w:eastAsia="楷体_GB2312"/>
          <w:b/>
          <w:sz w:val="32"/>
          <w:szCs w:val="32"/>
        </w:rPr>
        <w:t xml:space="preserve"> </w:t>
      </w:r>
      <w:r>
        <w:rPr>
          <w:rFonts w:hint="eastAsia" w:ascii="楷体_GB2312" w:hAnsi="仿宋" w:eastAsia="楷体_GB2312"/>
          <w:b/>
          <w:sz w:val="32"/>
          <w:szCs w:val="32"/>
          <w:lang w:val="en-US" w:eastAsia="zh-CN"/>
        </w:rPr>
        <w:t>实行阳光操作、</w:t>
      </w:r>
      <w:r>
        <w:rPr>
          <w:rFonts w:hint="eastAsia" w:ascii="楷体_GB2312" w:hAnsi="仿宋" w:eastAsia="楷体_GB2312" w:cs="黑体"/>
          <w:b/>
          <w:bCs/>
          <w:sz w:val="32"/>
          <w:szCs w:val="32"/>
          <w:lang w:val="en-US" w:eastAsia="zh-CN"/>
        </w:rPr>
        <w:t>严格落实</w:t>
      </w:r>
      <w:r>
        <w:rPr>
          <w:rFonts w:hint="eastAsia" w:ascii="楷体_GB2312" w:hAnsi="仿宋" w:eastAsia="楷体_GB2312" w:cs="黑体"/>
          <w:b/>
          <w:sz w:val="32"/>
          <w:szCs w:val="32"/>
          <w:lang w:val="en-US" w:eastAsia="zh-CN"/>
        </w:rPr>
        <w:t>退役士兵移交安置任务。</w:t>
      </w:r>
    </w:p>
    <w:p>
      <w:pPr>
        <w:spacing w:line="600" w:lineRule="exact"/>
        <w:ind w:firstLine="643" w:firstLineChars="200"/>
        <w:rPr>
          <w:rFonts w:hint="default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一是</w:t>
      </w:r>
      <w:r>
        <w:rPr>
          <w:rFonts w:hint="eastAsia" w:ascii="楷体_GB2312" w:hAnsi="仿宋" w:eastAsia="楷体_GB2312" w:cs="宋体"/>
          <w:b/>
          <w:color w:val="000000"/>
          <w:kern w:val="0"/>
          <w:sz w:val="32"/>
          <w:szCs w:val="32"/>
        </w:rPr>
        <w:t>及时受理。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按照上级规定时间节点完成退役士兵移交安置报到，受理报到资料，确保退役士兵完成移交安置。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楷体_GB2312" w:hAnsi="仿宋" w:eastAsia="楷体_GB2312" w:cs="宋体"/>
          <w:b/>
          <w:color w:val="000000"/>
          <w:kern w:val="0"/>
          <w:sz w:val="32"/>
          <w:szCs w:val="32"/>
        </w:rPr>
        <w:t>二是</w:t>
      </w:r>
      <w:r>
        <w:rPr>
          <w:rFonts w:hint="eastAsia" w:ascii="楷体_GB2312" w:hAnsi="仿宋" w:eastAsia="楷体_GB2312" w:cs="宋体"/>
          <w:b/>
          <w:color w:val="000000"/>
          <w:kern w:val="0"/>
          <w:sz w:val="32"/>
          <w:szCs w:val="32"/>
          <w:lang w:val="en-US" w:eastAsia="zh-CN"/>
        </w:rPr>
        <w:t>整理台账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。根据收集资料整理台账做到查漏补缺，采取交叉核对的方法梳理台账，确保台账清楚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hint="default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 w:cs="宋体"/>
          <w:b/>
          <w:color w:val="000000"/>
          <w:kern w:val="0"/>
          <w:sz w:val="32"/>
          <w:szCs w:val="32"/>
        </w:rPr>
        <w:t>三是</w:t>
      </w:r>
      <w:r>
        <w:rPr>
          <w:rFonts w:hint="eastAsia" w:ascii="楷体_GB2312" w:hAnsi="仿宋" w:eastAsia="楷体_GB2312" w:cs="宋体"/>
          <w:b/>
          <w:color w:val="000000"/>
          <w:kern w:val="0"/>
          <w:sz w:val="32"/>
          <w:szCs w:val="32"/>
          <w:lang w:val="en-US" w:eastAsia="zh-CN"/>
        </w:rPr>
        <w:t>解读政策</w:t>
      </w:r>
      <w:r>
        <w:rPr>
          <w:rFonts w:hint="eastAsia" w:ascii="楷体_GB2312" w:hAnsi="仿宋" w:eastAsia="楷体_GB2312" w:cs="宋体"/>
          <w:b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根据退役士兵咨询政策情况，梳理制作了退役士兵培训手册，帮助退役士兵完成技能培训，提供就业信息和搭建就业平台。</w:t>
      </w:r>
    </w:p>
    <w:p>
      <w:pPr>
        <w:spacing w:line="600" w:lineRule="exact"/>
        <w:ind w:firstLine="643" w:firstLineChars="200"/>
        <w:rPr>
          <w:rFonts w:ascii="楷体_GB2312" w:hAnsi="仿宋" w:eastAsia="楷体_GB2312" w:cs="宋体"/>
          <w:b/>
          <w:color w:val="000000"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b/>
          <w:color w:val="000000"/>
          <w:kern w:val="0"/>
          <w:sz w:val="32"/>
          <w:szCs w:val="32"/>
        </w:rPr>
        <w:t>(三)存在的问题及改进措施</w:t>
      </w:r>
    </w:p>
    <w:p>
      <w:pPr>
        <w:spacing w:line="600" w:lineRule="exact"/>
        <w:ind w:firstLine="643" w:firstLineChars="200"/>
        <w:rPr>
          <w:rFonts w:hint="eastAsia" w:ascii="仿宋_GB2312" w:hAnsi="仿宋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1、存在问题：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第一、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针对退役士兵报到不及时、资料不齐全；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第二、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针对退役士兵档案移交不及时、资料不齐全。</w:t>
      </w:r>
    </w:p>
    <w:p>
      <w:pPr>
        <w:spacing w:line="600" w:lineRule="exact"/>
        <w:ind w:firstLine="643" w:firstLineChars="200"/>
        <w:rPr>
          <w:rFonts w:hint="eastAsia" w:ascii="仿宋_GB2312" w:hAnsi="仿宋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2、改进措施：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第一、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及时告知、补齐资料；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第二、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及时联系部队、补齐资料。</w:t>
      </w:r>
    </w:p>
    <w:p>
      <w:pPr>
        <w:widowControl/>
        <w:snapToGrid w:val="0"/>
        <w:spacing w:line="600" w:lineRule="exact"/>
        <w:ind w:firstLine="630" w:firstLineChars="196"/>
        <w:jc w:val="left"/>
        <w:rPr>
          <w:rFonts w:ascii="楷体_GB2312" w:hAnsi="仿宋" w:eastAsia="楷体_GB2312"/>
          <w:b/>
          <w:color w:val="000000"/>
          <w:sz w:val="32"/>
          <w:szCs w:val="32"/>
        </w:rPr>
      </w:pPr>
      <w:r>
        <w:rPr>
          <w:rFonts w:hint="eastAsia" w:ascii="楷体_GB2312" w:hAnsi="仿宋" w:eastAsia="楷体_GB2312"/>
          <w:b/>
          <w:color w:val="000000"/>
          <w:sz w:val="32"/>
          <w:szCs w:val="32"/>
        </w:rPr>
        <w:t xml:space="preserve"> (四)项目后续工作安排和建议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加强政策宣传。</w:t>
      </w:r>
      <w:r>
        <w:rPr>
          <w:rFonts w:hint="eastAsia" w:ascii="仿宋_GB2312" w:hAnsi="仿宋" w:eastAsia="仿宋_GB2312"/>
          <w:sz w:val="32"/>
          <w:szCs w:val="32"/>
        </w:rPr>
        <w:t>利用各乡镇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村、社区（居委会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退役军人服务站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积极宣传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退役士兵移交安置政策</w:t>
      </w:r>
      <w:r>
        <w:rPr>
          <w:rFonts w:hint="eastAsia" w:ascii="仿宋_GB2312" w:hAnsi="仿宋" w:eastAsia="仿宋_GB2312"/>
          <w:sz w:val="32"/>
          <w:szCs w:val="32"/>
        </w:rPr>
        <w:t>，做好政策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解读</w:t>
      </w:r>
      <w:r>
        <w:rPr>
          <w:rFonts w:hint="eastAsia" w:ascii="仿宋_GB2312" w:hAnsi="仿宋" w:eastAsia="仿宋_GB2312"/>
          <w:sz w:val="32"/>
          <w:szCs w:val="32"/>
        </w:rPr>
        <w:t>，接受群众监督。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jc w:val="both"/>
        <w:rPr>
          <w:rFonts w:hint="eastAsia" w:ascii="宋体" w:hAnsi="宋体" w:eastAsia="宋体" w:cs="Arial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项目支出绩效评价报告</w:t>
      </w:r>
    </w:p>
    <w:p>
      <w:pPr>
        <w:jc w:val="both"/>
        <w:rPr>
          <w:rFonts w:hint="eastAsia" w:ascii="宋体" w:hAnsi="宋体" w:eastAsia="宋体" w:cs="Arial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  <w:u w:val="single" w:color="auto"/>
          <w:lang w:val="en-US" w:eastAsia="zh-CN"/>
        </w:rPr>
      </w:pPr>
      <w:r>
        <w:rPr>
          <w:rFonts w:hint="eastAsia" w:ascii="宋体" w:hAnsi="宋体" w:eastAsia="宋体" w:cs="Arial"/>
          <w:b/>
          <w:bCs/>
          <w:sz w:val="36"/>
          <w:szCs w:val="36"/>
          <w:lang w:val="en-US" w:eastAsia="zh-CN"/>
        </w:rPr>
        <w:t>项目名称：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 w:color="auto"/>
          <w:lang w:val="en-US" w:eastAsia="zh-CN"/>
        </w:rPr>
        <w:t xml:space="preserve"> 2020年度退役士兵安置生活费      </w:t>
      </w:r>
      <w:r>
        <w:rPr>
          <w:rFonts w:hint="eastAsia" w:ascii="黑体" w:hAnsi="黑体" w:eastAsia="黑体" w:cs="黑体"/>
          <w:b/>
          <w:bCs/>
          <w:sz w:val="36"/>
          <w:szCs w:val="36"/>
          <w:u w:val="none" w:color="auto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 w:color="auto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Arial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Arial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Arial"/>
          <w:b/>
          <w:bCs/>
          <w:sz w:val="36"/>
          <w:szCs w:val="36"/>
          <w:lang w:val="en-US" w:eastAsia="zh-CN"/>
        </w:rPr>
        <w:t>项目类别：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 w:color="auto"/>
          <w:lang w:val="en-US" w:eastAsia="zh-CN"/>
        </w:rPr>
        <w:t xml:space="preserve"> 社会事业                        </w:t>
      </w:r>
      <w:r>
        <w:rPr>
          <w:rFonts w:hint="eastAsia" w:ascii="黑体" w:hAnsi="黑体" w:eastAsia="黑体" w:cs="黑体"/>
          <w:b/>
          <w:bCs/>
          <w:sz w:val="36"/>
          <w:szCs w:val="36"/>
          <w:u w:val="none" w:color="auto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 w:color="auto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Arial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Arial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Arial"/>
          <w:b/>
          <w:bCs/>
          <w:sz w:val="36"/>
          <w:szCs w:val="36"/>
          <w:lang w:val="en-US" w:eastAsia="zh-CN"/>
        </w:rPr>
        <w:t>实施单位：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 w:color="auto"/>
          <w:lang w:val="en-US" w:eastAsia="zh-CN"/>
        </w:rPr>
        <w:t xml:space="preserve"> 安置就业军休股                 </w:t>
      </w:r>
      <w:r>
        <w:rPr>
          <w:rFonts w:hint="eastAsia" w:ascii="黑体" w:hAnsi="黑体" w:eastAsia="黑体" w:cs="黑体"/>
          <w:b/>
          <w:bCs/>
          <w:sz w:val="36"/>
          <w:szCs w:val="36"/>
          <w:u w:val="none" w:color="auto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 w:color="auto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Arial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Arial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Arial"/>
          <w:b/>
          <w:bCs/>
          <w:sz w:val="36"/>
          <w:szCs w:val="36"/>
          <w:lang w:val="en-US" w:eastAsia="zh-CN"/>
        </w:rPr>
        <w:t>主管部门：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 w:color="auto"/>
          <w:lang w:val="en-US" w:eastAsia="zh-CN"/>
        </w:rPr>
        <w:t xml:space="preserve"> 南昌县退役军人事务局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Arial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Arial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Arial"/>
          <w:b/>
          <w:bCs/>
          <w:sz w:val="36"/>
          <w:szCs w:val="36"/>
          <w:lang w:val="en-US" w:eastAsia="zh-CN"/>
        </w:rPr>
        <w:t>评价机构：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 w:color="auto"/>
          <w:lang w:val="en-US" w:eastAsia="zh-CN"/>
        </w:rPr>
        <w:t xml:space="preserve"> 安置就业军休股评估组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Arial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Arial"/>
          <w:b/>
          <w:bCs/>
          <w:sz w:val="36"/>
          <w:szCs w:val="36"/>
          <w:u w:val="none" w:color="auto"/>
          <w:lang w:val="en-US" w:eastAsia="zh-CN"/>
        </w:rPr>
      </w:pPr>
      <w:r>
        <w:rPr>
          <w:rFonts w:hint="eastAsia" w:ascii="宋体" w:hAnsi="宋体" w:eastAsia="宋体" w:cs="Arial"/>
          <w:b/>
          <w:bCs/>
          <w:sz w:val="36"/>
          <w:szCs w:val="36"/>
          <w:lang w:val="en-US" w:eastAsia="zh-CN"/>
        </w:rPr>
        <w:t>评价年度：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 w:color="auto"/>
          <w:lang w:val="en-US" w:eastAsia="zh-CN"/>
        </w:rPr>
        <w:t xml:space="preserve">  2020年度                       </w:t>
      </w:r>
      <w:r>
        <w:rPr>
          <w:rFonts w:hint="eastAsia" w:ascii="黑体" w:hAnsi="黑体" w:eastAsia="黑体" w:cs="黑体"/>
          <w:b/>
          <w:bCs/>
          <w:sz w:val="36"/>
          <w:szCs w:val="36"/>
          <w:u w:val="none" w:color="auto"/>
          <w:lang w:val="en-US" w:eastAsia="zh-CN"/>
        </w:rPr>
        <w:t xml:space="preserve">    </w:t>
      </w:r>
    </w:p>
    <w:p>
      <w:pPr>
        <w:jc w:val="both"/>
        <w:rPr>
          <w:rFonts w:hint="eastAsia" w:ascii="宋体" w:hAnsi="宋体" w:eastAsia="宋体" w:cs="Arial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Arial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Arial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Arial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Arial"/>
          <w:b/>
          <w:bCs/>
          <w:sz w:val="36"/>
          <w:szCs w:val="36"/>
          <w:lang w:val="en-US" w:eastAsia="zh-CN"/>
        </w:rPr>
        <w:t>2021年 05月12日</w:t>
      </w:r>
    </w:p>
    <w:p>
      <w:pPr>
        <w:jc w:val="both"/>
        <w:rPr>
          <w:rFonts w:hint="eastAsia" w:ascii="宋体" w:hAnsi="宋体" w:eastAsia="宋体" w:cs="Arial"/>
          <w:b/>
          <w:bCs/>
          <w:sz w:val="36"/>
          <w:szCs w:val="36"/>
          <w:lang w:val="en-US" w:eastAsia="zh-CN"/>
        </w:rPr>
      </w:pP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3102"/>
        <w:gridCol w:w="2109"/>
        <w:gridCol w:w="1643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0" w:hRule="atLeast"/>
        </w:trPr>
        <w:tc>
          <w:tcPr>
            <w:tcW w:w="86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小标宋简体"/>
                <w:b w:val="0"/>
                <w:i w:val="0"/>
                <w:snapToGrid/>
                <w:color w:val="000000"/>
                <w:sz w:val="36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snapToGrid/>
                <w:color w:val="000000"/>
                <w:sz w:val="36"/>
                <w:u w:val="none"/>
              </w:rPr>
              <w:t>项目绩效评价人员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70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姓名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单位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职称/职务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30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张建平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南昌县退役军人事务局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副局长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30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吴方永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局安置就业军休股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股长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30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张云霞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局安置就业军休股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副股长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30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30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30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 xml:space="preserve">  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30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30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30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30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30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 xml:space="preserve"> 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30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140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评价组组长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(签名):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3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2021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年 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5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月 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12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270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中介机构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（盖章）: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3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648" w:type="dxa"/>
            <w:gridSpan w:val="5"/>
            <w:tcBorders>
              <w:top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注：1.纳入部门评价的项目须填写此表，自评项目无须填写；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2.评价小组须不低于3人，如未委托第三方中介机构，则最后一行无需填写；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3.所有评价人员必须亲笔签名，否则评价无效。</w:t>
            </w:r>
          </w:p>
        </w:tc>
      </w:tr>
    </w:tbl>
    <w:p/>
    <w:p>
      <w:pPr>
        <w:jc w:val="both"/>
        <w:rPr>
          <w:rFonts w:hint="default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rPr>
          <w:rFonts w:hint="eastAsia" w:ascii="黑体" w:hAnsi="宋体" w:eastAsia="黑体" w:cs="Arial"/>
          <w:bCs/>
          <w:color w:val="000000"/>
          <w:sz w:val="32"/>
          <w:szCs w:val="32"/>
        </w:rPr>
      </w:pPr>
      <w:r>
        <w:rPr>
          <w:rFonts w:hint="eastAsia" w:ascii="黑体" w:hAnsi="宋体" w:eastAsia="黑体" w:cs="Arial"/>
          <w:bCs/>
          <w:color w:val="000000"/>
          <w:sz w:val="32"/>
          <w:szCs w:val="32"/>
        </w:rPr>
        <w:t>附件5：</w:t>
      </w:r>
    </w:p>
    <w:p>
      <w:pPr>
        <w:jc w:val="center"/>
        <w:rPr>
          <w:rFonts w:hint="eastAsia" w:ascii="方正小标宋简体" w:hAnsi="宋体" w:eastAsia="方正小标宋简体" w:cs="Arial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spacing w:val="40"/>
          <w:sz w:val="44"/>
          <w:szCs w:val="44"/>
        </w:rPr>
        <w:t>项目支出绩效评分</w:t>
      </w:r>
      <w:r>
        <w:rPr>
          <w:rFonts w:hint="eastAsia" w:ascii="方正小标宋简体" w:hAnsi="宋体" w:eastAsia="方正小标宋简体" w:cs="Arial"/>
          <w:bCs/>
          <w:color w:val="000000"/>
          <w:sz w:val="44"/>
          <w:szCs w:val="44"/>
        </w:rPr>
        <w:t>表</w:t>
      </w:r>
    </w:p>
    <w:tbl>
      <w:tblPr>
        <w:tblStyle w:val="5"/>
        <w:tblW w:w="471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3029"/>
        <w:gridCol w:w="1422"/>
        <w:gridCol w:w="1195"/>
        <w:gridCol w:w="1203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tblHeader/>
          <w:jc w:val="center"/>
        </w:trPr>
        <w:tc>
          <w:tcPr>
            <w:tcW w:w="561" w:type="pc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一级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699" w:type="pc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分值权重</w:t>
            </w:r>
          </w:p>
        </w:tc>
        <w:tc>
          <w:tcPr>
            <w:tcW w:w="703" w:type="pc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评分标准</w:t>
            </w: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评价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561" w:type="pct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t>决策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72" w:type="pct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t>项目立项　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t>立项依据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t>充分性</w:t>
            </w:r>
          </w:p>
        </w:tc>
        <w:tc>
          <w:tcPr>
            <w:tcW w:w="699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书宋简体" w:hAnsi="黑体" w:eastAsia="方正书宋简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03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2" w:type="pct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t>立项程序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t>规范性</w:t>
            </w:r>
          </w:p>
        </w:tc>
        <w:tc>
          <w:tcPr>
            <w:tcW w:w="699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书宋简体" w:hAnsi="黑体" w:eastAsia="方正书宋简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03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t>绩效目标　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t>绩效目标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t>合理性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0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t>绩效目标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t>绩效指标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t>明确性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70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2" w:type="pct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t>资金投入</w:t>
            </w:r>
          </w:p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t>预算编制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t>科学性</w:t>
            </w:r>
          </w:p>
        </w:tc>
        <w:tc>
          <w:tcPr>
            <w:tcW w:w="699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03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2" w:type="pct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t>资金分配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t>合理性</w:t>
            </w:r>
          </w:p>
        </w:tc>
        <w:tc>
          <w:tcPr>
            <w:tcW w:w="699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03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restar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t>过程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t>　　</w:t>
            </w:r>
          </w:p>
        </w:tc>
        <w:tc>
          <w:tcPr>
            <w:tcW w:w="1772" w:type="pct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t>资金管理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t>资金到位率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0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2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t>预算执行率</w:t>
            </w:r>
          </w:p>
        </w:tc>
        <w:tc>
          <w:tcPr>
            <w:tcW w:w="699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03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t>资金管理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t>资金使用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t>合规性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0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2" w:type="pct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t>组织实施</w:t>
            </w:r>
          </w:p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t>管理制度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t>健全性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0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2" w:type="pct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t>制度执行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t>有效性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0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561" w:type="pct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t>产出</w:t>
            </w: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t>产出数量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left="-90" w:leftChars="-30" w:right="-90" w:rightChars="-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60岁参战人员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、企业退休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两参”人员</w:t>
            </w:r>
            <w:r>
              <w:rPr>
                <w:rFonts w:hint="eastAsia"/>
                <w:sz w:val="24"/>
                <w:szCs w:val="24"/>
              </w:rPr>
              <w:t>≧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ind w:left="-90" w:leftChars="-30" w:right="-90" w:rightChars="-3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70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ind w:left="-90" w:leftChars="-30" w:right="-90" w:rightChars="-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t>产出质量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发放准确率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70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t>产出时效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及时性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准确性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70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561" w:type="pct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t>产出成本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left="-90" w:leftChars="-30" w:right="-90" w:rightChars="-3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60岁参战人员补贴790元/月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“两参”人员门诊补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260元/年</w:t>
            </w:r>
          </w:p>
        </w:tc>
        <w:tc>
          <w:tcPr>
            <w:tcW w:w="69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70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t>效益　</w:t>
            </w: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t>经济效益　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t>社会效益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优抚对象生活质量明显提高</w:t>
            </w:r>
          </w:p>
        </w:tc>
        <w:tc>
          <w:tcPr>
            <w:tcW w:w="699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703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t>生态效益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t>可持续效益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两项资金每年都按时发放</w:t>
            </w:r>
          </w:p>
        </w:tc>
        <w:tc>
          <w:tcPr>
            <w:tcW w:w="699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703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6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t>满意度</w:t>
            </w:r>
          </w:p>
        </w:tc>
        <w:tc>
          <w:tcPr>
            <w:tcW w:w="177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  <w:t>社会公众或服务对象满意度</w:t>
            </w:r>
          </w:p>
        </w:tc>
        <w:tc>
          <w:tcPr>
            <w:tcW w:w="832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优抚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对象满意度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%</w:t>
            </w:r>
          </w:p>
        </w:tc>
        <w:tc>
          <w:tcPr>
            <w:tcW w:w="699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703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568" w:type="pct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黑体" w:eastAsia="方正书宋简体" w:cs="宋体"/>
                <w:bCs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431" w:type="pc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方正书宋简体" w:hAnsi="黑体" w:eastAsia="方正书宋简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书宋简体" w:hAnsi="黑体" w:eastAsia="方正书宋简体" w:cs="宋体"/>
                <w:color w:val="000000"/>
                <w:kern w:val="0"/>
                <w:sz w:val="24"/>
                <w:szCs w:val="24"/>
                <w:lang w:val="en-US" w:eastAsia="zh-CN"/>
              </w:rPr>
              <w:t>95</w:t>
            </w:r>
          </w:p>
        </w:tc>
      </w:tr>
    </w:tbl>
    <w:p>
      <w:pPr>
        <w:spacing w:line="600" w:lineRule="exact"/>
        <w:ind w:firstLine="240" w:firstLineChars="100"/>
        <w:rPr>
          <w:rFonts w:hint="eastAsia" w:ascii="黑体" w:hAnsi="宋体" w:eastAsia="黑体" w:cs="仿宋_GB2312"/>
          <w:bCs/>
          <w:color w:val="000000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黑体" w:hAnsi="宋体" w:eastAsia="黑体" w:cs="Arial"/>
          <w:bCs/>
          <w:color w:val="000000"/>
          <w:sz w:val="24"/>
          <w:szCs w:val="24"/>
        </w:rPr>
        <w:t>注：请参照《</w:t>
      </w:r>
      <w:r>
        <w:rPr>
          <w:rFonts w:hint="eastAsia" w:ascii="黑体" w:hAnsi="宋体" w:eastAsia="黑体" w:cs="仿宋_GB2312"/>
          <w:bCs/>
          <w:color w:val="000000"/>
          <w:kern w:val="0"/>
          <w:sz w:val="24"/>
          <w:szCs w:val="24"/>
          <w:shd w:val="clear" w:color="auto" w:fill="FFFFFF"/>
          <w:lang w:bidi="ar"/>
        </w:rPr>
        <w:t>项目支出绩效评价指标体系框架》（附件7）完善相关指标</w:t>
      </w:r>
    </w:p>
    <w:p>
      <w:pPr>
        <w:spacing w:line="520" w:lineRule="exact"/>
        <w:jc w:val="both"/>
        <w:rPr>
          <w:rFonts w:hint="eastAsia" w:ascii="仿宋_GB2312" w:hAnsi="仿宋" w:eastAsia="仿宋_GB2312"/>
          <w:sz w:val="24"/>
          <w:szCs w:val="24"/>
        </w:rPr>
      </w:pPr>
    </w:p>
    <w:sectPr>
      <w:footerReference r:id="rId3" w:type="default"/>
      <w:pgSz w:w="11906" w:h="16838"/>
      <w:pgMar w:top="1928" w:right="1531" w:bottom="1701" w:left="1531" w:header="737" w:footer="851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EDED4F"/>
    <w:multiLevelType w:val="singleLevel"/>
    <w:tmpl w:val="A3EDED4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B049124"/>
    <w:multiLevelType w:val="singleLevel"/>
    <w:tmpl w:val="BB04912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76009"/>
    <w:rsid w:val="05F8379B"/>
    <w:rsid w:val="0ECB0E31"/>
    <w:rsid w:val="15431FB6"/>
    <w:rsid w:val="24FA67BD"/>
    <w:rsid w:val="252D65C2"/>
    <w:rsid w:val="27DF0ACD"/>
    <w:rsid w:val="3FB7364F"/>
    <w:rsid w:val="44EC2003"/>
    <w:rsid w:val="4A097918"/>
    <w:rsid w:val="4C9F78A7"/>
    <w:rsid w:val="551B38EC"/>
    <w:rsid w:val="665D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snapToGrid w:val="0"/>
      <w:spacing w:line="560" w:lineRule="atLeast"/>
      <w:ind w:firstLine="640" w:firstLineChars="200"/>
    </w:pPr>
    <w:rPr>
      <w:rFonts w:eastAsia="仿宋_GB2312"/>
      <w:kern w:val="0"/>
      <w:sz w:val="32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2022-01-13T08:26:02Z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2B7DBA84100547618E555E5596435C97</vt:lpwstr>
  </property>
</Properties>
</file>