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绩效自评报告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我县未享受低保的“两参”人员生活补贴，按上级要求实现即定发放目标，现将补贴资金绩效自评情况报告如下：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一 、基本情况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（一）项目概况。按照《南信访联发〔2020〕7号》落实相关政策，未享受低保的“两参”人员生活补贴，由财政拨款71.28万元，全年执行数额44.46万元。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（二）项目绩效目标。财政专项扶贫资金项目绩效目标设定情况。未享受低保的“两参”人员生活补贴项目绩效目标设定分四项，共计100分，具体情况为: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（1）产出指标20分，其中，数量指标5分，质量指标5分，即相关</w:t>
      </w:r>
      <w:r>
        <w:rPr>
          <w:rFonts w:hint="eastAsia" w:ascii="仿宋" w:hAnsi="仿宋" w:eastAsia="仿宋" w:cs="仿宋"/>
          <w:kern w:val="0"/>
          <w:sz w:val="32"/>
          <w:szCs w:val="32"/>
        </w:rPr>
        <w:t>补贴</w:t>
      </w:r>
      <w:r>
        <w:rPr>
          <w:rFonts w:hint="eastAsia" w:ascii="仿宋" w:hAnsi="仿宋" w:eastAsia="仿宋" w:cs="仿宋"/>
          <w:sz w:val="32"/>
          <w:szCs w:val="32"/>
        </w:rPr>
        <w:t xml:space="preserve">资金发放准确率；时效指标5分；成本指标5分。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（2）效益指标10分，其中，社会效益指标5分，即2020年未享受低保的“两参”人员生活补贴资金受益人数，可持续影响指标5分。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（3）满意度指标5分：其中，服务对象满意度指标5分。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二 、绩效评价工作开展情况 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绩效自评工作，在局党组的领导下，严格按年度申报目标开展，自评工作开展范围为全县，对象为未享受低保的“两参”人员，时间为2020年4月1日至12月30日，工作方式为思想政治和权益维护股负责发放，通过未享受低保的“两参”人员提交相关材料，然后在民政、人社方面档案确认查询等工作方式。内容包括核实是否为我县认定了“两参”身份，是否享受低保，补贴资金的到账时间，是否严格按上级要求将专项资金及时发放到位，并对受助的未享受低保的“两参”人员满意度进行了调查，详实掌握了补贴资金从入账到发放的各环节实际情况，为准确填报绩效目标自评情况奠定了基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 综合评价情况及评价结论（见附表5）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四、绩效评价指标分析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（一）项目决策情况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1、项目资金到位情况分析。 我局2020年发放未享受低保的“两参”人员生活补贴44.46万元，为县财政局拨款。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2、项目资金执行情况分析。 我局及时将补贴资金发放已提交材料的未享受低保的“两参”人员。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3、项目资金管理情况分析。 我局2020年未享受低保的“两参”人员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补贴</w:t>
      </w:r>
      <w:r>
        <w:rPr>
          <w:rFonts w:hint="eastAsia" w:ascii="仿宋" w:hAnsi="仿宋" w:eastAsia="仿宋" w:cs="仿宋"/>
          <w:sz w:val="32"/>
          <w:szCs w:val="32"/>
        </w:rPr>
        <w:t xml:space="preserve">资金做到了专款专用，及时发放，相关人员及时收到了补贴款项。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（二）项目过程情况。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该项目绩效目标设定分值为100分，实际得分98分。其中决策指标30分，实际得分30分；过程指标25分，实际得分25分；产出指标为20分，实际得分18分；效益指标10分，实际得分10分，满意度指标5分，实际得分5分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（三）项目产出情况。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补贴资金人员均为未享受低保的“两参”人员。具体情况为相关人员提交审核材料，通过审核后按季度予以发放相关补贴。2020年第一次（第二季度）发放77人，第二次（第三季度）发放79人，第三次（第四季度）发放81人。2020年度向未享受低保的“两参”人员对象共发放生活补贴共计44.46万元。</w:t>
      </w:r>
    </w:p>
    <w:p>
      <w:pPr>
        <w:spacing w:line="560" w:lineRule="exact"/>
        <w:ind w:left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（四）项目效益情况。 </w:t>
      </w:r>
    </w:p>
    <w:p>
      <w:pPr>
        <w:spacing w:line="56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我局效益指标中，未享受低保的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“两参”人员初步统计</w:t>
      </w:r>
      <w:r>
        <w:rPr>
          <w:rFonts w:hint="eastAsia" w:ascii="仿宋" w:hAnsi="仿宋" w:eastAsia="仿宋" w:cs="仿宋"/>
          <w:sz w:val="32"/>
          <w:szCs w:val="32"/>
        </w:rPr>
        <w:t>人数131人，因此项目涉及信访稳定，不宜进行宣扬，完成发放对象81人，实现指标值相对较低。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主要经验及做法、存在的问题及原因分析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、从实际情况看，我局年初设定的满意度指标为≥95%，通过实际调查统计，未享受低保的“两参”人员的实际满意度为100%，主要是我局落实各项政策准确到位，审核严谨，相关资金发放及时，因此，相关人员非常满意。</w:t>
      </w:r>
    </w:p>
    <w:p>
      <w:pPr>
        <w:spacing w:line="560" w:lineRule="exact"/>
        <w:ind w:firstLine="5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偏离绩效目标的原因和下一步改进措施。我县部分未享受低保的“两参”人员向相关部门诉求，要求享受低保，县信访工作联席会考虑到“两参”群体的稳定因素，于2020年3月31日出台了《南信访联发〔2020〕7号》文，于2020年4月份起向未享受低保的“两参”人员发放每人每月600元的生活补贴，我局与县民政局等单位进行了沟通，排查后发现我县共有132名“两参”人员未享受低保，2020年度共需发放相关资金71.28万元。因《南信访联发〔2020〕7号》为我县稳定“两参”人员群体而出台的相关政策，不宜进行全面宣传，防止造成不良影响，故采取向曾信访诉求过要求享受低保的“两参”人员进行宣传，采取未享受低保的“两参”人员主动报送材料，我局将其情况与民政、人社等部门进行核实，确认真实无误后进行发放补贴的模式，因此有部分未享受低保的“两参”人员未提交相关材料，造成了全年预算数与全年执行数出现差距的情况。而且，根据《南信访联发〔2020〕7号》文件精神，取消低保的“两参”人员将及时纳入发放该生活补贴的范畴，该项工作需实行动态管理，人数无法准确预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3 、绩效自评结果拟应用和公开情况。部门将适时对绩效自评结果进行抽查，并加强抽查结果应用;绩效自评结果将作为以后年度项目立项和经费支持的重要依据，对绩效自评结果与实际情况出入较大或绩效较差的项目，下一年度项目预算将从紧、从严。由于信访、涉稳的特殊性，结果不予公开。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附件5：</w:t>
      </w:r>
    </w:p>
    <w:p>
      <w:pPr>
        <w:jc w:val="center"/>
        <w:rPr>
          <w:rFonts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pacing w:val="40"/>
          <w:sz w:val="44"/>
          <w:szCs w:val="44"/>
        </w:rPr>
        <w:t>项目支出绩效评分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表</w:t>
      </w:r>
    </w:p>
    <w:tbl>
      <w:tblPr>
        <w:tblStyle w:val="4"/>
        <w:tblW w:w="47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848"/>
        <w:gridCol w:w="1338"/>
        <w:gridCol w:w="1124"/>
        <w:gridCol w:w="1132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561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分值权重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1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2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项目立项　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立项依据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充分性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立项程序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规范性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　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绩效指标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明确性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资金投入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预算编制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科学性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资金分配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过程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772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资金到位率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资金使用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合规性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组织实施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管理制度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健全性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制度执行</w:t>
            </w:r>
          </w:p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有效性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1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</w:t>
            </w: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未享受低保“两参”人员生活补贴&lt;100人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发放准确率100%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及时性、准确性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未享受低保“两参”人员每月发放600元生活补贴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效益　</w:t>
            </w: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经济效益　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未享受低保“两参”人员生活质量明显提高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生态效益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可持续效益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该项资金都按时发放到位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77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832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未享受低保“两参”人员满意度100%</w:t>
            </w:r>
          </w:p>
        </w:tc>
        <w:tc>
          <w:tcPr>
            <w:tcW w:w="699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568" w:type="pct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31" w:type="pct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98</w:t>
            </w:r>
          </w:p>
        </w:tc>
      </w:tr>
    </w:tbl>
    <w:p>
      <w:pPr>
        <w:spacing w:line="600" w:lineRule="exact"/>
        <w:ind w:firstLine="200" w:firstLineChars="100"/>
        <w:rPr>
          <w:rFonts w:ascii="黑体" w:hAnsi="宋体" w:eastAsia="黑体" w:cs="仿宋_GB2312"/>
          <w:bCs/>
          <w:color w:val="000000"/>
          <w:kern w:val="0"/>
          <w:sz w:val="20"/>
          <w:shd w:val="clear" w:color="auto" w:fill="FFFFFF"/>
        </w:rPr>
      </w:pPr>
      <w:r>
        <w:rPr>
          <w:rFonts w:hint="eastAsia" w:ascii="黑体" w:hAnsi="宋体" w:eastAsia="黑体" w:cs="Arial"/>
          <w:bCs/>
          <w:color w:val="000000"/>
          <w:sz w:val="20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</w:rPr>
        <w:t>项目支出绩效评价指标体系框架》（附件7）完善相关指标</w:t>
      </w: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48"/>
          <w:szCs w:val="4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 xml:space="preserve"> 未享受低保的“两参”人员生活补贴      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</w:t>
      </w:r>
    </w:p>
    <w:p>
      <w:pPr>
        <w:spacing w:line="600" w:lineRule="exact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>社会事业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>思想政治和权益维护股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>南昌县退役军人事务局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（盖章）</w:t>
      </w:r>
    </w:p>
    <w:p>
      <w:pPr>
        <w:spacing w:line="600" w:lineRule="exact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  <w:lang w:eastAsia="zh-CN"/>
        </w:rPr>
        <w:t>思想政治和权益维护评估组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（盖章）</w:t>
      </w:r>
    </w:p>
    <w:p>
      <w:pPr>
        <w:spacing w:line="600" w:lineRule="exact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黑体" w:hAnsi="宋体" w:eastAsia="黑体" w:cs="Arial"/>
          <w:b/>
          <w:bCs w:val="0"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val="en-US" w:eastAsia="zh-CN"/>
        </w:rPr>
        <w:t>2020年度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                          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     </w:t>
      </w:r>
    </w:p>
    <w:p>
      <w:pPr>
        <w:rPr>
          <w:rFonts w:ascii="黑体" w:hAnsi="宋体" w:eastAsia="黑体" w:cs="Arial"/>
          <w:b/>
          <w:bCs w:val="0"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月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日</w:t>
      </w:r>
    </w:p>
    <w:p>
      <w:pPr>
        <w:jc w:val="center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202"/>
        <w:gridCol w:w="217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张建平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南昌县退役军人事务局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副局长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万  云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局思想政治和权益维护股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股 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  雪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局思想政治和权益维护股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 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ascii="黑体" w:hAnsi="宋体" w:eastAsia="黑体"/>
          <w:color w:val="000000"/>
          <w:sz w:val="24"/>
          <w:szCs w:val="24"/>
        </w:rPr>
      </w:pP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（参考提纲）</w:t>
      </w:r>
    </w:p>
    <w:p>
      <w:pPr>
        <w:spacing w:line="60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一、基本情况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（一）项目概况。包括项目背景、主要内容及实施情况、资金投入和使用情况等。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（二）项目绩效目标。包括总体目标和阶段性目标。</w:t>
      </w:r>
    </w:p>
    <w:p>
      <w:pPr>
        <w:spacing w:line="60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二、绩效评价工作开展情况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（一）绩效评价目的、对象和范围。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（二）绩效评价原则、评价指标体系（附表说明）、评价方法、评价标准等。</w:t>
      </w:r>
    </w:p>
    <w:p>
      <w:pPr>
        <w:spacing w:line="600" w:lineRule="exact"/>
        <w:ind w:firstLine="562" w:firstLineChars="20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（三）绩效评价工作过程。</w:t>
      </w:r>
    </w:p>
    <w:p>
      <w:pPr>
        <w:spacing w:line="600" w:lineRule="exact"/>
        <w:ind w:firstLine="576" w:firstLineChars="200"/>
        <w:rPr>
          <w:rFonts w:ascii="黑体" w:eastAsia="黑体"/>
          <w:color w:val="000000"/>
          <w:spacing w:val="4"/>
          <w:sz w:val="28"/>
          <w:szCs w:val="28"/>
        </w:rPr>
      </w:pPr>
      <w:r>
        <w:rPr>
          <w:rFonts w:hint="eastAsia" w:ascii="黑体" w:hAnsi="黑体" w:eastAsia="黑体"/>
          <w:color w:val="000000"/>
          <w:spacing w:val="4"/>
          <w:sz w:val="28"/>
          <w:szCs w:val="28"/>
        </w:rPr>
        <w:t>三、综合评价情况及评价结论</w:t>
      </w:r>
      <w:r>
        <w:rPr>
          <w:rFonts w:hint="eastAsia" w:ascii="黑体" w:eastAsia="黑体"/>
          <w:color w:val="000000"/>
          <w:spacing w:val="4"/>
          <w:sz w:val="28"/>
          <w:szCs w:val="28"/>
        </w:rPr>
        <w:t>（附相关评分表，评分表可参照附件2）</w:t>
      </w:r>
    </w:p>
    <w:p>
      <w:pPr>
        <w:spacing w:line="60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四、绩效评价指标分析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（一）项目决策情况。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（二）项目过程情况。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（三）项目产出情况。</w:t>
      </w:r>
    </w:p>
    <w:p>
      <w:pPr>
        <w:spacing w:line="600" w:lineRule="exact"/>
        <w:ind w:firstLine="562" w:firstLineChars="200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（四）项目效益情况。</w:t>
      </w:r>
    </w:p>
    <w:p>
      <w:pPr>
        <w:spacing w:line="60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五、主要经验及做法、存在的问题及原因分析</w:t>
      </w:r>
    </w:p>
    <w:p>
      <w:pPr>
        <w:spacing w:line="60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六、有关建议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七、其他需要说明的问题</w:t>
      </w:r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D08DB"/>
    <w:multiLevelType w:val="singleLevel"/>
    <w:tmpl w:val="AE6D08DB"/>
    <w:lvl w:ilvl="0" w:tentative="0">
      <w:start w:val="5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747FE8"/>
    <w:rsid w:val="003C67FC"/>
    <w:rsid w:val="003F49A6"/>
    <w:rsid w:val="00A33966"/>
    <w:rsid w:val="00B22653"/>
    <w:rsid w:val="00B75F70"/>
    <w:rsid w:val="00B961AC"/>
    <w:rsid w:val="00E2618C"/>
    <w:rsid w:val="00FC3DF2"/>
    <w:rsid w:val="28D133A8"/>
    <w:rsid w:val="2D854716"/>
    <w:rsid w:val="2F193C67"/>
    <w:rsid w:val="3A747FE8"/>
    <w:rsid w:val="4D8F3D00"/>
    <w:rsid w:val="5541227F"/>
    <w:rsid w:val="6F253375"/>
    <w:rsid w:val="70E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507</Words>
  <Characters>2895</Characters>
  <Lines>24</Lines>
  <Paragraphs>6</Paragraphs>
  <TotalTime>2</TotalTime>
  <ScaleCrop>false</ScaleCrop>
  <LinksUpToDate>false</LinksUpToDate>
  <CharactersWithSpaces>3396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2021-05-20T05:49:00Z</dcterms:created>
  <dc:creator>县退役军人事务局</dc:creator>
  <cp:lastModifiedBy>admin</cp:lastModifiedBy>
  <cp:lastPrinted>2021-05-20T05:38:00Z</cp:lastPrinted>
  <dcterms:modified xsi:type="dcterms:W3CDTF">2022-01-13T08:42:06Z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96AD71D1B7D2406DB829F020963D25C1</vt:lpwstr>
  </property>
</Properties>
</file>