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关于我局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2021年</w:t>
      </w:r>
      <w:r>
        <w:rPr>
          <w:rFonts w:hint="eastAsia" w:ascii="宋体" w:hAnsi="宋体" w:cs="宋体"/>
          <w:b/>
          <w:bCs/>
          <w:sz w:val="36"/>
          <w:szCs w:val="36"/>
        </w:rPr>
        <w:t>部门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预算</w:t>
      </w:r>
      <w:r>
        <w:rPr>
          <w:rFonts w:hint="eastAsia" w:ascii="宋体" w:hAnsi="宋体" w:cs="宋体"/>
          <w:b/>
          <w:bCs/>
          <w:sz w:val="36"/>
          <w:szCs w:val="36"/>
        </w:rPr>
        <w:t>的情况说明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南昌县财政局：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年部门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预</w:t>
      </w:r>
      <w:r>
        <w:rPr>
          <w:rFonts w:hint="eastAsia" w:ascii="仿宋" w:hAnsi="仿宋" w:eastAsia="仿宋" w:cs="仿宋"/>
          <w:sz w:val="32"/>
          <w:szCs w:val="32"/>
        </w:rPr>
        <w:t>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收入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3368.64万元，2021年部门预算收入为4043.37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，其中，2021年预算中新增退役军人服务站提升改造及奖补经费，因此财政拨款支出增长较大，情况属实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南昌县退役军人事务局</w:t>
      </w:r>
    </w:p>
    <w:p>
      <w:pPr>
        <w:ind w:firstLine="4800" w:firstLineChars="15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NDBiZmI4NDQwYzk2OTJmMTVmYzg1NWU5MzJjYzUifQ=="/>
  </w:docVars>
  <w:rsids>
    <w:rsidRoot w:val="5D802712"/>
    <w:rsid w:val="06755150"/>
    <w:rsid w:val="3ED85824"/>
    <w:rsid w:val="5D802712"/>
    <w:rsid w:val="7D28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130</Characters>
  <Lines>0</Lines>
  <Paragraphs>0</Paragraphs>
  <TotalTime>8</TotalTime>
  <ScaleCrop>false</ScaleCrop>
  <LinksUpToDate>false</LinksUpToDate>
  <CharactersWithSpaces>133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2022-05-12T05:38:00Z</dcterms:created>
  <dc:creator>县退役军人事务局</dc:creator>
  <cp:lastModifiedBy>县退役军人事务局</cp:lastModifiedBy>
  <dcterms:modified xsi:type="dcterms:W3CDTF">2022-05-12T05:50:51Z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ACB0BD81751945F58EE751BB45F0E8F3</vt:lpwstr>
  </property>
</Properties>
</file>